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1F8" w:rsidRPr="00326A1D" w:rsidRDefault="00FD21F8" w:rsidP="00FD21F8">
      <w:pPr>
        <w:pStyle w:val="Nadpis1"/>
        <w:keepNext/>
        <w:jc w:val="center"/>
        <w:rPr>
          <w:rFonts w:ascii="Titillium" w:hAnsi="Titillium"/>
          <w:b w:val="0"/>
          <w:color w:val="FF0000"/>
          <w:sz w:val="32"/>
        </w:rPr>
      </w:pPr>
    </w:p>
    <w:p w:rsidR="00FD21F8" w:rsidRPr="00326A1D" w:rsidRDefault="00FD21F8" w:rsidP="00FD21F8">
      <w:pPr>
        <w:pStyle w:val="Nadpis1"/>
        <w:keepNext/>
        <w:jc w:val="center"/>
        <w:rPr>
          <w:rFonts w:ascii="Titillium" w:hAnsi="Titillium"/>
        </w:rPr>
      </w:pPr>
      <w:r w:rsidRPr="00326A1D">
        <w:rPr>
          <w:rFonts w:ascii="Titillium" w:hAnsi="Titillium"/>
          <w:b w:val="0"/>
          <w:color w:val="FF0000"/>
          <w:sz w:val="32"/>
        </w:rPr>
        <w:t>Technická zpráva</w:t>
      </w:r>
    </w:p>
    <w:p w:rsidR="00FD21F8" w:rsidRPr="002A135D" w:rsidRDefault="00FD21F8" w:rsidP="00FD21F8">
      <w:pPr>
        <w:jc w:val="center"/>
        <w:rPr>
          <w:rFonts w:ascii="Titillium" w:hAnsi="Titillium"/>
          <w:color w:val="FF0000"/>
        </w:rPr>
      </w:pPr>
    </w:p>
    <w:p w:rsidR="00C73D5F" w:rsidRPr="002A135D" w:rsidRDefault="00FD21F8" w:rsidP="002A135D">
      <w:pPr>
        <w:rPr>
          <w:rFonts w:ascii="Titillium" w:hAnsi="Titillium"/>
        </w:rPr>
      </w:pPr>
      <w:r w:rsidRPr="002A135D">
        <w:rPr>
          <w:rFonts w:ascii="Titillium" w:hAnsi="Titillium"/>
          <w:i/>
        </w:rPr>
        <w:t>Číslo</w:t>
      </w:r>
      <w:r w:rsidR="00326A1D" w:rsidRPr="002A135D">
        <w:rPr>
          <w:rFonts w:ascii="Titillium" w:hAnsi="Titillium"/>
          <w:i/>
        </w:rPr>
        <w:t xml:space="preserve"> zakázky:  </w:t>
      </w:r>
      <w:r w:rsidR="00545C18">
        <w:rPr>
          <w:rFonts w:ascii="Titillium" w:hAnsi="Titillium"/>
          <w:i/>
        </w:rPr>
        <w:tab/>
      </w:r>
      <w:r w:rsidR="00827F5B">
        <w:rPr>
          <w:rFonts w:ascii="Titillium" w:hAnsi="Titillium"/>
          <w:i/>
        </w:rPr>
        <w:tab/>
      </w:r>
      <w:r w:rsidR="00FE6387">
        <w:rPr>
          <w:rFonts w:ascii="Titillium" w:hAnsi="Titillium"/>
        </w:rPr>
        <w:t>40</w:t>
      </w:r>
      <w:r w:rsidRPr="002A135D">
        <w:rPr>
          <w:rFonts w:ascii="Titillium" w:hAnsi="Titillium"/>
        </w:rPr>
        <w:t>/20</w:t>
      </w:r>
      <w:r w:rsidR="00C73D5F" w:rsidRPr="002A135D">
        <w:rPr>
          <w:rFonts w:ascii="Titillium" w:hAnsi="Titillium"/>
        </w:rPr>
        <w:t>1</w:t>
      </w:r>
      <w:r w:rsidR="007E3389">
        <w:rPr>
          <w:rFonts w:ascii="Titillium" w:hAnsi="Titillium"/>
        </w:rPr>
        <w:t>7</w:t>
      </w:r>
    </w:p>
    <w:p w:rsidR="00FD21F8" w:rsidRPr="002A135D" w:rsidRDefault="00FD21F8" w:rsidP="00FD21F8">
      <w:pPr>
        <w:rPr>
          <w:rFonts w:ascii="Titillium" w:hAnsi="Titillium"/>
        </w:rPr>
      </w:pPr>
    </w:p>
    <w:p w:rsidR="00FA2198" w:rsidRPr="009D5BFF" w:rsidRDefault="00FD21F8" w:rsidP="009D5BFF">
      <w:pPr>
        <w:rPr>
          <w:rFonts w:ascii="Titillium" w:hAnsi="Titillium"/>
          <w:b/>
          <w:sz w:val="24"/>
          <w:szCs w:val="24"/>
        </w:rPr>
      </w:pPr>
      <w:r w:rsidRPr="002A135D">
        <w:rPr>
          <w:rFonts w:ascii="Titillium" w:hAnsi="Titillium"/>
          <w:i/>
        </w:rPr>
        <w:t>Název zakázky:</w:t>
      </w:r>
      <w:r w:rsidR="00545C18">
        <w:rPr>
          <w:rFonts w:ascii="Titillium" w:hAnsi="Titillium"/>
          <w:i/>
        </w:rPr>
        <w:tab/>
      </w:r>
      <w:r w:rsidR="00827F5B">
        <w:rPr>
          <w:rFonts w:ascii="Titillium" w:hAnsi="Titillium"/>
          <w:i/>
        </w:rPr>
        <w:tab/>
      </w:r>
      <w:r w:rsidR="00FE6387">
        <w:rPr>
          <w:rFonts w:ascii="Titillium" w:hAnsi="Titillium"/>
          <w:b/>
          <w:sz w:val="24"/>
          <w:szCs w:val="24"/>
        </w:rPr>
        <w:t>Rozšíření parkoviště Čtvrtě – severní a jižní části</w:t>
      </w:r>
    </w:p>
    <w:p w:rsidR="00636681" w:rsidRPr="00273059" w:rsidRDefault="007624C7" w:rsidP="007624C7">
      <w:pPr>
        <w:rPr>
          <w:rFonts w:ascii="Titillium" w:hAnsi="Titillium"/>
          <w:b/>
          <w:sz w:val="24"/>
          <w:szCs w:val="24"/>
        </w:rPr>
      </w:pPr>
      <w:r w:rsidRPr="007624C7">
        <w:rPr>
          <w:rFonts w:ascii="Titillium" w:hAnsi="Titillium"/>
          <w:b/>
          <w:sz w:val="24"/>
          <w:szCs w:val="24"/>
        </w:rPr>
        <w:tab/>
      </w:r>
      <w:r w:rsidRPr="007624C7">
        <w:rPr>
          <w:rFonts w:ascii="Titillium" w:hAnsi="Titillium"/>
          <w:b/>
          <w:sz w:val="24"/>
          <w:szCs w:val="24"/>
        </w:rPr>
        <w:tab/>
      </w:r>
      <w:r w:rsidRPr="007624C7">
        <w:rPr>
          <w:rFonts w:ascii="Titillium" w:hAnsi="Titillium"/>
          <w:b/>
          <w:sz w:val="24"/>
          <w:szCs w:val="24"/>
        </w:rPr>
        <w:tab/>
        <w:t>Dokumentace skutečného provedení stavby</w:t>
      </w:r>
    </w:p>
    <w:p w:rsidR="00FD21F8" w:rsidRPr="002A135D" w:rsidRDefault="00FD21F8" w:rsidP="00FD21F8">
      <w:pPr>
        <w:rPr>
          <w:rFonts w:ascii="Titillium" w:hAnsi="Titillium"/>
        </w:rPr>
      </w:pPr>
    </w:p>
    <w:p w:rsidR="00FD21F8" w:rsidRPr="002A135D" w:rsidRDefault="00FD21F8" w:rsidP="00FD21F8">
      <w:pPr>
        <w:rPr>
          <w:rFonts w:ascii="Titillium" w:hAnsi="Titillium"/>
        </w:rPr>
      </w:pPr>
      <w:r w:rsidRPr="002A135D">
        <w:rPr>
          <w:rFonts w:ascii="Titillium" w:hAnsi="Titillium"/>
          <w:i/>
        </w:rPr>
        <w:t>Obec:</w:t>
      </w:r>
      <w:r w:rsidRPr="002A135D">
        <w:rPr>
          <w:rFonts w:ascii="Titillium" w:hAnsi="Titillium"/>
          <w:i/>
        </w:rPr>
        <w:tab/>
      </w:r>
      <w:r w:rsidRPr="002A135D">
        <w:rPr>
          <w:rFonts w:ascii="Titillium" w:hAnsi="Titillium"/>
          <w:i/>
        </w:rPr>
        <w:tab/>
      </w:r>
      <w:r w:rsidRPr="002A135D">
        <w:rPr>
          <w:rFonts w:ascii="Titillium" w:hAnsi="Titillium"/>
          <w:i/>
        </w:rPr>
        <w:tab/>
      </w:r>
      <w:r w:rsidRPr="002A135D">
        <w:rPr>
          <w:rFonts w:ascii="Titillium" w:hAnsi="Titillium"/>
        </w:rPr>
        <w:t>Brno</w:t>
      </w:r>
    </w:p>
    <w:p w:rsidR="00FD21F8" w:rsidRPr="002A135D" w:rsidRDefault="00FD21F8" w:rsidP="00FD21F8">
      <w:pPr>
        <w:rPr>
          <w:rFonts w:ascii="Titillium" w:hAnsi="Titillium"/>
        </w:rPr>
      </w:pPr>
    </w:p>
    <w:p w:rsidR="00FD21F8" w:rsidRPr="002A135D" w:rsidRDefault="00FD21F8" w:rsidP="00FD21F8">
      <w:pPr>
        <w:rPr>
          <w:rFonts w:ascii="Titillium" w:hAnsi="Titillium"/>
        </w:rPr>
      </w:pPr>
      <w:r w:rsidRPr="002A135D">
        <w:rPr>
          <w:rFonts w:ascii="Titillium" w:hAnsi="Titillium"/>
          <w:i/>
        </w:rPr>
        <w:t>Katastrální území:</w:t>
      </w:r>
      <w:r w:rsidR="00741596" w:rsidRPr="002A135D">
        <w:rPr>
          <w:rFonts w:ascii="Titillium" w:hAnsi="Titillium"/>
        </w:rPr>
        <w:tab/>
      </w:r>
      <w:r w:rsidR="00FE6387">
        <w:rPr>
          <w:rFonts w:ascii="Titillium" w:hAnsi="Titillium"/>
        </w:rPr>
        <w:t>Nový Lískovec</w:t>
      </w:r>
    </w:p>
    <w:p w:rsidR="00FD21F8" w:rsidRPr="002A135D" w:rsidRDefault="00FD21F8" w:rsidP="00FD21F8">
      <w:pPr>
        <w:rPr>
          <w:rFonts w:ascii="Titillium" w:hAnsi="Titillium"/>
        </w:rPr>
      </w:pPr>
    </w:p>
    <w:p w:rsidR="00FD21F8" w:rsidRPr="005C5FAE" w:rsidRDefault="00FD21F8" w:rsidP="00FD21F8">
      <w:pPr>
        <w:rPr>
          <w:rFonts w:ascii="Titillium" w:hAnsi="Titillium"/>
        </w:rPr>
      </w:pPr>
      <w:r w:rsidRPr="002A135D">
        <w:rPr>
          <w:rFonts w:ascii="Titillium" w:hAnsi="Titillium"/>
          <w:i/>
        </w:rPr>
        <w:t>Datum zaměření:</w:t>
      </w:r>
      <w:r w:rsidRPr="002A135D">
        <w:rPr>
          <w:rFonts w:ascii="Titillium" w:hAnsi="Titillium"/>
          <w:i/>
        </w:rPr>
        <w:tab/>
      </w:r>
      <w:r w:rsidR="00827F5B">
        <w:rPr>
          <w:rFonts w:ascii="Titillium" w:hAnsi="Titillium"/>
          <w:i/>
        </w:rPr>
        <w:tab/>
      </w:r>
      <w:r w:rsidR="00DC38D6">
        <w:rPr>
          <w:rFonts w:ascii="Titillium" w:hAnsi="Titillium"/>
        </w:rPr>
        <w:t>ří</w:t>
      </w:r>
      <w:r w:rsidR="00662960">
        <w:rPr>
          <w:rFonts w:ascii="Titillium" w:hAnsi="Titillium"/>
        </w:rPr>
        <w:t>jen</w:t>
      </w:r>
      <w:r w:rsidR="007E3389">
        <w:rPr>
          <w:rFonts w:ascii="Titillium" w:hAnsi="Titillium"/>
        </w:rPr>
        <w:t xml:space="preserve"> 2017</w:t>
      </w:r>
    </w:p>
    <w:p w:rsidR="00FD21F8" w:rsidRPr="002A135D" w:rsidRDefault="00FD21F8" w:rsidP="00FD21F8">
      <w:pPr>
        <w:rPr>
          <w:rFonts w:ascii="Titillium" w:hAnsi="Titillium"/>
        </w:rPr>
      </w:pPr>
    </w:p>
    <w:p w:rsidR="00FE6387" w:rsidRPr="00EB4373" w:rsidRDefault="00FD21F8" w:rsidP="00FE6387">
      <w:pPr>
        <w:rPr>
          <w:rFonts w:ascii="Times New Roman" w:hAnsi="Times New Roman"/>
          <w:b/>
          <w:bCs/>
          <w:sz w:val="24"/>
          <w:szCs w:val="24"/>
        </w:rPr>
      </w:pPr>
      <w:r w:rsidRPr="002A135D">
        <w:rPr>
          <w:rFonts w:ascii="Titillium" w:hAnsi="Titillium"/>
          <w:i/>
        </w:rPr>
        <w:t>Objednatel:</w:t>
      </w:r>
      <w:r w:rsidR="00CD4153">
        <w:rPr>
          <w:rFonts w:ascii="Titillium" w:hAnsi="Titillium"/>
          <w:i/>
        </w:rPr>
        <w:tab/>
      </w:r>
      <w:r w:rsidR="00CD4153">
        <w:rPr>
          <w:rFonts w:ascii="Titillium" w:hAnsi="Titillium"/>
          <w:i/>
        </w:rPr>
        <w:tab/>
      </w:r>
      <w:r w:rsidR="00FE6387" w:rsidRPr="00C22929">
        <w:rPr>
          <w:rFonts w:ascii="Titillium" w:hAnsi="Titillium"/>
          <w:b/>
          <w:bCs/>
        </w:rPr>
        <w:t>Brněnské komunikace a.s. – Luboš Skácel</w:t>
      </w:r>
    </w:p>
    <w:p w:rsidR="00FE6387" w:rsidRPr="00CD4153" w:rsidRDefault="00FE6387" w:rsidP="00FE6387">
      <w:pPr>
        <w:ind w:left="1360" w:firstLine="680"/>
        <w:rPr>
          <w:rFonts w:ascii="Titillium" w:hAnsi="Titillium"/>
          <w:bCs/>
        </w:rPr>
      </w:pPr>
      <w:r w:rsidRPr="00C22929">
        <w:rPr>
          <w:rFonts w:ascii="Titillium" w:hAnsi="Titillium"/>
          <w:bCs/>
        </w:rPr>
        <w:t>středisko 2100 – středisko zimní a letní údržby</w:t>
      </w:r>
    </w:p>
    <w:p w:rsidR="007624C7" w:rsidRPr="00CD4153" w:rsidRDefault="007624C7" w:rsidP="00FE6387">
      <w:pPr>
        <w:rPr>
          <w:rFonts w:ascii="Titillium" w:hAnsi="Titillium"/>
          <w:bCs/>
        </w:rPr>
      </w:pPr>
    </w:p>
    <w:p w:rsidR="00FD21F8" w:rsidRPr="002A135D" w:rsidRDefault="00FD21F8" w:rsidP="00FD21F8">
      <w:pPr>
        <w:rPr>
          <w:rFonts w:ascii="Titillium" w:hAnsi="Titillium"/>
        </w:rPr>
      </w:pPr>
      <w:r w:rsidRPr="002A135D">
        <w:rPr>
          <w:rFonts w:ascii="Titillium" w:hAnsi="Titillium"/>
          <w:i/>
        </w:rPr>
        <w:t xml:space="preserve">Souřadnicový systém: </w:t>
      </w:r>
      <w:r w:rsidR="00827F5B">
        <w:rPr>
          <w:rFonts w:ascii="Titillium" w:hAnsi="Titillium"/>
          <w:i/>
        </w:rPr>
        <w:tab/>
      </w:r>
      <w:r w:rsidRPr="002A135D">
        <w:rPr>
          <w:rFonts w:ascii="Titillium" w:hAnsi="Titillium"/>
        </w:rPr>
        <w:t>S-JTSK</w:t>
      </w:r>
    </w:p>
    <w:p w:rsidR="00FD21F8" w:rsidRPr="002A135D" w:rsidRDefault="00FD21F8" w:rsidP="00FD21F8">
      <w:pPr>
        <w:rPr>
          <w:rFonts w:ascii="Titillium" w:hAnsi="Titillium"/>
        </w:rPr>
      </w:pPr>
    </w:p>
    <w:p w:rsidR="00FD21F8" w:rsidRPr="002A135D" w:rsidRDefault="00FD21F8" w:rsidP="00FD21F8">
      <w:pPr>
        <w:rPr>
          <w:rFonts w:ascii="Titillium" w:hAnsi="Titillium"/>
        </w:rPr>
      </w:pPr>
      <w:r w:rsidRPr="002A135D">
        <w:rPr>
          <w:rFonts w:ascii="Titillium" w:hAnsi="Titillium"/>
          <w:i/>
        </w:rPr>
        <w:t>Výškový systém:</w:t>
      </w:r>
      <w:r w:rsidRPr="002A135D">
        <w:rPr>
          <w:rFonts w:ascii="Titillium" w:hAnsi="Titillium"/>
          <w:i/>
        </w:rPr>
        <w:tab/>
      </w:r>
      <w:r w:rsidR="00827F5B">
        <w:rPr>
          <w:rFonts w:ascii="Titillium" w:hAnsi="Titillium"/>
          <w:i/>
        </w:rPr>
        <w:tab/>
      </w:r>
      <w:proofErr w:type="spellStart"/>
      <w:r w:rsidRPr="002A135D">
        <w:rPr>
          <w:rFonts w:ascii="Titillium" w:hAnsi="Titillium"/>
        </w:rPr>
        <w:t>Bpv</w:t>
      </w:r>
      <w:proofErr w:type="spellEnd"/>
    </w:p>
    <w:p w:rsidR="00FD21F8" w:rsidRPr="002467BA" w:rsidRDefault="00FD21F8" w:rsidP="002467BA">
      <w:pPr>
        <w:pStyle w:val="Nadpis1"/>
        <w:keepNext/>
        <w:jc w:val="center"/>
        <w:rPr>
          <w:rFonts w:ascii="Titillium" w:hAnsi="Titillium"/>
          <w:b w:val="0"/>
          <w:color w:val="FF0000"/>
          <w:sz w:val="32"/>
        </w:rPr>
      </w:pPr>
    </w:p>
    <w:p w:rsidR="00741596" w:rsidRPr="002467BA" w:rsidRDefault="00741596" w:rsidP="002467BA">
      <w:pPr>
        <w:pStyle w:val="Nadpis1"/>
        <w:keepNext/>
        <w:jc w:val="center"/>
        <w:rPr>
          <w:rFonts w:ascii="Titillium" w:hAnsi="Titillium"/>
          <w:b w:val="0"/>
          <w:color w:val="FF0000"/>
          <w:sz w:val="32"/>
        </w:rPr>
      </w:pPr>
    </w:p>
    <w:p w:rsidR="00FD21F8" w:rsidRPr="00326A1D" w:rsidRDefault="00FD21F8" w:rsidP="00FD21F8">
      <w:pPr>
        <w:rPr>
          <w:rFonts w:ascii="Titillium" w:hAnsi="Titillium"/>
          <w:b/>
          <w:i/>
          <w:sz w:val="28"/>
          <w:szCs w:val="28"/>
        </w:rPr>
      </w:pPr>
      <w:r w:rsidRPr="00326A1D">
        <w:rPr>
          <w:rFonts w:ascii="Titillium" w:hAnsi="Titillium"/>
          <w:b/>
          <w:i/>
          <w:sz w:val="28"/>
          <w:szCs w:val="28"/>
        </w:rPr>
        <w:t>1. Předmět zakázky</w:t>
      </w:r>
    </w:p>
    <w:p w:rsidR="00FD21F8" w:rsidRPr="00326A1D" w:rsidRDefault="00FD21F8" w:rsidP="00FD21F8">
      <w:pPr>
        <w:rPr>
          <w:rFonts w:ascii="Titillium" w:hAnsi="Titillium"/>
        </w:rPr>
      </w:pPr>
      <w:r w:rsidRPr="00326A1D">
        <w:rPr>
          <w:rFonts w:ascii="Titillium" w:hAnsi="Titillium"/>
          <w:sz w:val="24"/>
          <w:szCs w:val="24"/>
        </w:rPr>
        <w:tab/>
      </w:r>
    </w:p>
    <w:p w:rsidR="008D0F15" w:rsidRPr="00326A1D" w:rsidRDefault="008D0F15" w:rsidP="008D0F15">
      <w:pPr>
        <w:ind w:firstLine="708"/>
        <w:rPr>
          <w:rFonts w:ascii="Titillium" w:hAnsi="Titillium"/>
        </w:rPr>
      </w:pPr>
      <w:r w:rsidRPr="00326A1D">
        <w:rPr>
          <w:rFonts w:ascii="Titillium" w:hAnsi="Titillium"/>
        </w:rPr>
        <w:t xml:space="preserve">Předmětem zakázky bylo zaměření </w:t>
      </w:r>
      <w:r w:rsidR="00C22929">
        <w:rPr>
          <w:rFonts w:ascii="Titillium" w:hAnsi="Titillium"/>
        </w:rPr>
        <w:t xml:space="preserve">a vyhotovení dokumentace skutečného provedení </w:t>
      </w:r>
      <w:r w:rsidR="006307A8">
        <w:rPr>
          <w:rFonts w:ascii="Titillium" w:hAnsi="Titillium"/>
        </w:rPr>
        <w:t xml:space="preserve">stavby </w:t>
      </w:r>
      <w:r w:rsidR="00966AED">
        <w:rPr>
          <w:rFonts w:ascii="Titillium" w:hAnsi="Titillium"/>
        </w:rPr>
        <w:t xml:space="preserve">rozšíření parkoviště </w:t>
      </w:r>
      <w:r w:rsidR="00FE6387">
        <w:rPr>
          <w:rFonts w:ascii="Titillium" w:hAnsi="Titillium"/>
        </w:rPr>
        <w:t>severní a jižní</w:t>
      </w:r>
      <w:r w:rsidR="00FA2198">
        <w:rPr>
          <w:rFonts w:ascii="Titillium" w:hAnsi="Titillium"/>
        </w:rPr>
        <w:t xml:space="preserve"> </w:t>
      </w:r>
      <w:r w:rsidR="00966AED">
        <w:rPr>
          <w:rFonts w:ascii="Titillium" w:hAnsi="Titillium"/>
        </w:rPr>
        <w:t xml:space="preserve">části </w:t>
      </w:r>
      <w:r w:rsidR="00FA2198">
        <w:rPr>
          <w:rFonts w:ascii="Titillium" w:hAnsi="Titillium"/>
        </w:rPr>
        <w:t xml:space="preserve">na </w:t>
      </w:r>
      <w:r w:rsidR="007624C7">
        <w:rPr>
          <w:rFonts w:ascii="Titillium" w:hAnsi="Titillium"/>
        </w:rPr>
        <w:t>ulic</w:t>
      </w:r>
      <w:r w:rsidR="00CD4153">
        <w:rPr>
          <w:rFonts w:ascii="Titillium" w:hAnsi="Titillium"/>
        </w:rPr>
        <w:t>i</w:t>
      </w:r>
      <w:r w:rsidR="0029755D">
        <w:rPr>
          <w:rFonts w:ascii="Titillium" w:hAnsi="Titillium"/>
        </w:rPr>
        <w:t xml:space="preserve"> </w:t>
      </w:r>
      <w:r w:rsidR="00FE6387">
        <w:rPr>
          <w:rFonts w:ascii="Titillium" w:hAnsi="Titillium"/>
        </w:rPr>
        <w:t>Čtvrtě</w:t>
      </w:r>
      <w:r w:rsidR="00C22929">
        <w:rPr>
          <w:rFonts w:ascii="Titillium" w:hAnsi="Titillium"/>
        </w:rPr>
        <w:t xml:space="preserve"> </w:t>
      </w:r>
      <w:r w:rsidR="00F463B7">
        <w:rPr>
          <w:rFonts w:ascii="Titillium" w:hAnsi="Titillium"/>
        </w:rPr>
        <w:t>v</w:t>
      </w:r>
      <w:r w:rsidR="00CE7A59">
        <w:rPr>
          <w:rFonts w:ascii="Calibri" w:hAnsi="Calibri" w:cs="Calibri"/>
        </w:rPr>
        <w:t> </w:t>
      </w:r>
      <w:r w:rsidRPr="00326A1D">
        <w:rPr>
          <w:rFonts w:ascii="Titillium" w:hAnsi="Titillium"/>
        </w:rPr>
        <w:t>rozsahu požadovaném objednatelem.</w:t>
      </w:r>
    </w:p>
    <w:p w:rsidR="005910C0" w:rsidRPr="002467BA" w:rsidRDefault="005910C0" w:rsidP="002467BA">
      <w:pPr>
        <w:pStyle w:val="Nadpis1"/>
        <w:keepNext/>
        <w:jc w:val="center"/>
        <w:rPr>
          <w:rFonts w:ascii="Titillium" w:hAnsi="Titillium"/>
          <w:b w:val="0"/>
          <w:color w:val="FF0000"/>
          <w:sz w:val="32"/>
        </w:rPr>
      </w:pPr>
    </w:p>
    <w:p w:rsidR="00FD21F8" w:rsidRPr="00326A1D" w:rsidRDefault="00FD21F8" w:rsidP="00FD21F8">
      <w:pPr>
        <w:rPr>
          <w:rFonts w:ascii="Titillium" w:hAnsi="Titillium"/>
          <w:b/>
          <w:i/>
          <w:sz w:val="28"/>
          <w:szCs w:val="28"/>
        </w:rPr>
      </w:pPr>
      <w:r w:rsidRPr="00326A1D">
        <w:rPr>
          <w:rFonts w:ascii="Titillium" w:hAnsi="Titillium"/>
          <w:b/>
          <w:i/>
          <w:sz w:val="28"/>
          <w:szCs w:val="28"/>
        </w:rPr>
        <w:t>2. Geodetické podklady</w:t>
      </w:r>
    </w:p>
    <w:p w:rsidR="00FD21F8" w:rsidRPr="00326A1D" w:rsidRDefault="00FD21F8" w:rsidP="00FD21F8">
      <w:pPr>
        <w:ind w:firstLine="708"/>
        <w:rPr>
          <w:rFonts w:ascii="Titillium" w:hAnsi="Titillium"/>
        </w:rPr>
      </w:pPr>
      <w:r w:rsidRPr="00326A1D">
        <w:rPr>
          <w:rFonts w:ascii="Titillium" w:hAnsi="Titillium"/>
        </w:rPr>
        <w:tab/>
      </w:r>
    </w:p>
    <w:p w:rsidR="00A75DB8" w:rsidRDefault="00A75DB8" w:rsidP="00A75DB8">
      <w:pPr>
        <w:ind w:firstLine="680"/>
        <w:rPr>
          <w:rFonts w:ascii="Titillium" w:hAnsi="Titillium"/>
        </w:rPr>
      </w:pPr>
      <w:r>
        <w:rPr>
          <w:rFonts w:ascii="Titillium" w:hAnsi="Titillium"/>
        </w:rPr>
        <w:t xml:space="preserve">Měření bylo polohově </w:t>
      </w:r>
      <w:r w:rsidRPr="00326A1D">
        <w:rPr>
          <w:rFonts w:ascii="Titillium" w:hAnsi="Titillium"/>
        </w:rPr>
        <w:t>připojeno na</w:t>
      </w:r>
      <w:r>
        <w:rPr>
          <w:rFonts w:ascii="Titillium" w:hAnsi="Titillium"/>
        </w:rPr>
        <w:t xml:space="preserve"> stávající</w:t>
      </w:r>
      <w:r w:rsidR="0081600F">
        <w:rPr>
          <w:rFonts w:ascii="Titillium" w:hAnsi="Titillium"/>
        </w:rPr>
        <w:t xml:space="preserve"> bod</w:t>
      </w:r>
      <w:r>
        <w:rPr>
          <w:rFonts w:ascii="Titillium" w:hAnsi="Titillium"/>
        </w:rPr>
        <w:t xml:space="preserve"> polohové</w:t>
      </w:r>
      <w:r w:rsidR="0081600F">
        <w:rPr>
          <w:rFonts w:ascii="Titillium" w:hAnsi="Titillium"/>
        </w:rPr>
        <w:t>ho</w:t>
      </w:r>
      <w:r>
        <w:rPr>
          <w:rFonts w:ascii="Titillium" w:hAnsi="Titillium"/>
        </w:rPr>
        <w:t xml:space="preserve"> bodové</w:t>
      </w:r>
      <w:r w:rsidR="0081600F">
        <w:rPr>
          <w:rFonts w:ascii="Titillium" w:hAnsi="Titillium"/>
        </w:rPr>
        <w:t>ho</w:t>
      </w:r>
      <w:r>
        <w:rPr>
          <w:rFonts w:ascii="Titillium" w:hAnsi="Titillium"/>
        </w:rPr>
        <w:t xml:space="preserve"> pole</w:t>
      </w:r>
      <w:r w:rsidR="00B22074">
        <w:rPr>
          <w:rFonts w:ascii="Titillium" w:hAnsi="Titillium"/>
        </w:rPr>
        <w:t xml:space="preserve"> ( 501</w:t>
      </w:r>
      <w:bookmarkStart w:id="0" w:name="_GoBack"/>
      <w:bookmarkEnd w:id="0"/>
      <w:r>
        <w:rPr>
          <w:rFonts w:ascii="Titillium" w:hAnsi="Titillium"/>
        </w:rPr>
        <w:t xml:space="preserve"> v</w:t>
      </w:r>
      <w:r>
        <w:rPr>
          <w:rFonts w:ascii="Calibri" w:hAnsi="Calibri" w:cs="Calibri"/>
        </w:rPr>
        <w:t> </w:t>
      </w:r>
      <w:proofErr w:type="spellStart"/>
      <w:proofErr w:type="gramStart"/>
      <w:r w:rsidR="00966AED">
        <w:rPr>
          <w:rFonts w:ascii="Titillium" w:hAnsi="Titillium"/>
        </w:rPr>
        <w:t>k.ú</w:t>
      </w:r>
      <w:proofErr w:type="spellEnd"/>
      <w:r w:rsidR="00966AED">
        <w:rPr>
          <w:rFonts w:ascii="Titillium" w:hAnsi="Titillium"/>
        </w:rPr>
        <w:t>.</w:t>
      </w:r>
      <w:proofErr w:type="gramEnd"/>
      <w:r w:rsidR="00966AED">
        <w:rPr>
          <w:rFonts w:ascii="Titillium" w:hAnsi="Titillium"/>
        </w:rPr>
        <w:t xml:space="preserve"> Stránice)</w:t>
      </w:r>
      <w:r>
        <w:rPr>
          <w:rFonts w:ascii="Titillium" w:hAnsi="Titillium"/>
        </w:rPr>
        <w:t>, dále na nově vytvořené body bodového pole v</w:t>
      </w:r>
      <w:r>
        <w:rPr>
          <w:rFonts w:ascii="Calibri" w:hAnsi="Calibri" w:cs="Calibri"/>
        </w:rPr>
        <w:t> </w:t>
      </w:r>
      <w:proofErr w:type="spellStart"/>
      <w:proofErr w:type="gramStart"/>
      <w:r>
        <w:rPr>
          <w:rFonts w:ascii="Titillium" w:hAnsi="Titillium"/>
        </w:rPr>
        <w:t>k.ú</w:t>
      </w:r>
      <w:proofErr w:type="spellEnd"/>
      <w:r>
        <w:rPr>
          <w:rFonts w:ascii="Titillium" w:hAnsi="Titillium"/>
        </w:rPr>
        <w:t>.</w:t>
      </w:r>
      <w:proofErr w:type="gramEnd"/>
      <w:r>
        <w:rPr>
          <w:rFonts w:ascii="Titillium" w:hAnsi="Titillium"/>
        </w:rPr>
        <w:t xml:space="preserve"> </w:t>
      </w:r>
      <w:r w:rsidR="00966AED">
        <w:rPr>
          <w:rFonts w:ascii="Titillium" w:hAnsi="Titillium"/>
        </w:rPr>
        <w:t>Nový Lískovec</w:t>
      </w:r>
      <w:r>
        <w:rPr>
          <w:rFonts w:ascii="Titillium" w:hAnsi="Titillium"/>
        </w:rPr>
        <w:t>,</w:t>
      </w:r>
      <w:r w:rsidRPr="00326A1D">
        <w:rPr>
          <w:rFonts w:ascii="Titillium" w:hAnsi="Titillium"/>
        </w:rPr>
        <w:t xml:space="preserve"> </w:t>
      </w:r>
      <w:r>
        <w:rPr>
          <w:rFonts w:ascii="Titillium" w:hAnsi="Titillium"/>
        </w:rPr>
        <w:t>tyto b</w:t>
      </w:r>
      <w:r w:rsidRPr="00326A1D">
        <w:rPr>
          <w:rFonts w:ascii="Titillium" w:hAnsi="Titillium"/>
        </w:rPr>
        <w:t>od</w:t>
      </w:r>
      <w:r>
        <w:rPr>
          <w:rFonts w:ascii="Titillium" w:hAnsi="Titillium"/>
        </w:rPr>
        <w:t>y</w:t>
      </w:r>
      <w:r w:rsidRPr="00326A1D">
        <w:rPr>
          <w:rFonts w:ascii="Titillium" w:hAnsi="Titillium"/>
        </w:rPr>
        <w:t xml:space="preserve"> byl</w:t>
      </w:r>
      <w:r>
        <w:rPr>
          <w:rFonts w:ascii="Titillium" w:hAnsi="Titillium"/>
        </w:rPr>
        <w:t xml:space="preserve">y určeny </w:t>
      </w:r>
      <w:r w:rsidRPr="00326A1D">
        <w:rPr>
          <w:rFonts w:ascii="Titillium" w:hAnsi="Titillium"/>
        </w:rPr>
        <w:t xml:space="preserve">technologií GNSS metodou RTK. Pro výpočet souřadnic v S-JTSK byl použit software </w:t>
      </w:r>
      <w:proofErr w:type="spellStart"/>
      <w:r w:rsidRPr="00326A1D">
        <w:rPr>
          <w:rFonts w:ascii="Titillium" w:hAnsi="Titillium"/>
        </w:rPr>
        <w:t>Trimble</w:t>
      </w:r>
      <w:proofErr w:type="spellEnd"/>
      <w:r w:rsidRPr="00326A1D">
        <w:rPr>
          <w:rFonts w:ascii="Titillium" w:hAnsi="Titillium"/>
        </w:rPr>
        <w:t xml:space="preserve"> General </w:t>
      </w:r>
      <w:proofErr w:type="spellStart"/>
      <w:r w:rsidRPr="00326A1D">
        <w:rPr>
          <w:rFonts w:ascii="Titillium" w:hAnsi="Titillium"/>
        </w:rPr>
        <w:t>Survey</w:t>
      </w:r>
      <w:proofErr w:type="spellEnd"/>
      <w:r w:rsidRPr="00326A1D">
        <w:rPr>
          <w:rFonts w:ascii="Titillium" w:hAnsi="Titillium"/>
        </w:rPr>
        <w:t xml:space="preserve"> SW verze 2.00 a transformační modul zpřesněné globální transformace </w:t>
      </w:r>
      <w:proofErr w:type="spellStart"/>
      <w:r w:rsidRPr="00326A1D">
        <w:rPr>
          <w:rFonts w:ascii="Titillium" w:hAnsi="Titillium"/>
        </w:rPr>
        <w:t>Trimble</w:t>
      </w:r>
      <w:proofErr w:type="spellEnd"/>
      <w:r w:rsidRPr="00326A1D">
        <w:rPr>
          <w:rFonts w:ascii="Titillium" w:hAnsi="Titillium"/>
        </w:rPr>
        <w:t xml:space="preserve"> 2013 verze 1.0  schválený ČÚZK pro měření od </w:t>
      </w:r>
      <w:proofErr w:type="gramStart"/>
      <w:r w:rsidRPr="00326A1D">
        <w:rPr>
          <w:rFonts w:ascii="Titillium" w:hAnsi="Titillium"/>
        </w:rPr>
        <w:t>1.7.2012</w:t>
      </w:r>
      <w:proofErr w:type="gramEnd"/>
      <w:r w:rsidRPr="00326A1D">
        <w:rPr>
          <w:rFonts w:ascii="Titillium" w:hAnsi="Titillium"/>
        </w:rPr>
        <w:t xml:space="preserve"> (Zóna:  Krovak_2013, soubor rovinné </w:t>
      </w:r>
      <w:proofErr w:type="spellStart"/>
      <w:r w:rsidRPr="00326A1D">
        <w:rPr>
          <w:rFonts w:ascii="Titillium" w:hAnsi="Titillium"/>
        </w:rPr>
        <w:t>dotransformace</w:t>
      </w:r>
      <w:proofErr w:type="spellEnd"/>
      <w:r w:rsidRPr="00326A1D">
        <w:rPr>
          <w:rFonts w:ascii="Titillium" w:hAnsi="Titillium"/>
        </w:rPr>
        <w:t xml:space="preserve">  KG2013 a model geoidu CR2005).</w:t>
      </w:r>
    </w:p>
    <w:p w:rsidR="00A75DB8" w:rsidRPr="006877D0" w:rsidRDefault="00A75DB8" w:rsidP="00A75DB8">
      <w:pPr>
        <w:ind w:firstLine="708"/>
        <w:rPr>
          <w:rFonts w:ascii="Titillium" w:hAnsi="Titillium"/>
        </w:rPr>
      </w:pPr>
      <w:r w:rsidRPr="006877D0">
        <w:rPr>
          <w:rFonts w:ascii="Titillium" w:hAnsi="Titillium"/>
        </w:rPr>
        <w:t>Síť měřických bodů byla pomocí trigonometrického měřen</w:t>
      </w:r>
      <w:r>
        <w:rPr>
          <w:rFonts w:ascii="Titillium" w:hAnsi="Titillium"/>
        </w:rPr>
        <w:t>í připojena na ni</w:t>
      </w:r>
      <w:r w:rsidR="00966AED">
        <w:rPr>
          <w:rFonts w:ascii="Titillium" w:hAnsi="Titillium"/>
        </w:rPr>
        <w:t>velační čepovou značku (JM-071-1090</w:t>
      </w:r>
      <w:r w:rsidRPr="006877D0">
        <w:rPr>
          <w:rFonts w:ascii="Titillium" w:hAnsi="Titillium"/>
        </w:rPr>
        <w:t xml:space="preserve">) do výškového systému </w:t>
      </w:r>
      <w:proofErr w:type="spellStart"/>
      <w:r w:rsidRPr="006877D0">
        <w:rPr>
          <w:rFonts w:ascii="Titillium" w:hAnsi="Titillium"/>
        </w:rPr>
        <w:t>Bpv</w:t>
      </w:r>
      <w:proofErr w:type="spellEnd"/>
      <w:r w:rsidRPr="006877D0">
        <w:rPr>
          <w:rFonts w:ascii="Titillium" w:hAnsi="Titillium"/>
        </w:rPr>
        <w:t>.</w:t>
      </w:r>
    </w:p>
    <w:p w:rsidR="00A75DB8" w:rsidRPr="00326A1D" w:rsidRDefault="00A75DB8" w:rsidP="00A75DB8">
      <w:pPr>
        <w:ind w:firstLine="708"/>
        <w:rPr>
          <w:rFonts w:ascii="Titillium" w:hAnsi="Titillium"/>
        </w:rPr>
      </w:pPr>
      <w:r w:rsidRPr="00326A1D">
        <w:rPr>
          <w:rFonts w:ascii="Titillium" w:hAnsi="Titillium"/>
        </w:rPr>
        <w:t>Přesnost nově určen</w:t>
      </w:r>
      <w:r>
        <w:rPr>
          <w:rFonts w:ascii="Titillium" w:hAnsi="Titillium"/>
        </w:rPr>
        <w:t>ých bodů</w:t>
      </w:r>
      <w:r w:rsidRPr="00326A1D">
        <w:rPr>
          <w:rFonts w:ascii="Titillium" w:hAnsi="Titillium"/>
        </w:rPr>
        <w:t xml:space="preserve"> bodového pole vyhovuje požadavkům podle bodu 12.9, 12.10 a 12.11 přílohy Vyhlášky ČÚZK č. 357/2013 Sb. Podrobné body polohopisu byly zaměřeny polární metodou a jejich polohová přesnost vyhovuje požadavkům podle bodu 13.9 přílohy Vyhlášky ČÚZK č. 357/2013 Sb. </w:t>
      </w:r>
      <w:r w:rsidRPr="00326A1D">
        <w:rPr>
          <w:rFonts w:ascii="Titillium" w:hAnsi="Titillium"/>
          <w:i/>
        </w:rPr>
        <w:t>Odchylky určení bodů bodového pole a podrobných bodů nebyly překročeny.</w:t>
      </w:r>
    </w:p>
    <w:p w:rsidR="00A75DB8" w:rsidRPr="00326A1D" w:rsidRDefault="00A75DB8" w:rsidP="00A75DB8">
      <w:pPr>
        <w:ind w:firstLine="708"/>
        <w:rPr>
          <w:rFonts w:ascii="Titillium" w:hAnsi="Titillium"/>
        </w:rPr>
      </w:pPr>
      <w:r w:rsidRPr="00326A1D">
        <w:rPr>
          <w:rFonts w:ascii="Titillium" w:hAnsi="Titillium"/>
        </w:rPr>
        <w:t xml:space="preserve">Připojení do S-JTSK vyhovuje 3. tř. </w:t>
      </w:r>
      <w:proofErr w:type="gramStart"/>
      <w:r w:rsidRPr="00326A1D">
        <w:rPr>
          <w:rFonts w:ascii="Titillium" w:hAnsi="Titillium"/>
        </w:rPr>
        <w:t>přesnosti</w:t>
      </w:r>
      <w:proofErr w:type="gramEnd"/>
      <w:r w:rsidRPr="00326A1D">
        <w:rPr>
          <w:rFonts w:ascii="Titillium" w:hAnsi="Titillium"/>
        </w:rPr>
        <w:t xml:space="preserve"> dle ČSN 730415 (Geodetické body). Mapování bylo provedeno ve 3 tř. </w:t>
      </w:r>
      <w:proofErr w:type="gramStart"/>
      <w:r w:rsidRPr="00326A1D">
        <w:rPr>
          <w:rFonts w:ascii="Titillium" w:hAnsi="Titillium"/>
        </w:rPr>
        <w:t>přesnosti</w:t>
      </w:r>
      <w:proofErr w:type="gramEnd"/>
      <w:r w:rsidRPr="00326A1D">
        <w:rPr>
          <w:rFonts w:ascii="Titillium" w:hAnsi="Titillium"/>
        </w:rPr>
        <w:t xml:space="preserve">. Měření a zpracování je v souladu s normami ČSN 013410 (Mapy velkých měřítek. Základní a účelové mapy) a ČSN 013411 (Mapy velkých měřítek. Kreslení a značky) platných od </w:t>
      </w:r>
      <w:proofErr w:type="gramStart"/>
      <w:r w:rsidRPr="00326A1D">
        <w:rPr>
          <w:rFonts w:ascii="Titillium" w:hAnsi="Titillium"/>
        </w:rPr>
        <w:t>1.1.1992</w:t>
      </w:r>
      <w:proofErr w:type="gramEnd"/>
      <w:r w:rsidRPr="00326A1D">
        <w:rPr>
          <w:rFonts w:ascii="Titillium" w:hAnsi="Titillium"/>
        </w:rPr>
        <w:t>.</w:t>
      </w:r>
    </w:p>
    <w:p w:rsidR="00732B7E" w:rsidRPr="002467BA" w:rsidRDefault="00732B7E" w:rsidP="002467BA">
      <w:pPr>
        <w:pStyle w:val="Nadpis1"/>
        <w:keepNext/>
        <w:jc w:val="center"/>
        <w:rPr>
          <w:rFonts w:ascii="Titillium" w:hAnsi="Titillium"/>
          <w:b w:val="0"/>
          <w:color w:val="FF0000"/>
          <w:sz w:val="32"/>
        </w:rPr>
      </w:pPr>
    </w:p>
    <w:p w:rsidR="00FD21F8" w:rsidRPr="00326A1D" w:rsidRDefault="00425B63" w:rsidP="00FD21F8">
      <w:pPr>
        <w:rPr>
          <w:rFonts w:ascii="Titillium" w:hAnsi="Titillium"/>
          <w:b/>
          <w:i/>
          <w:sz w:val="28"/>
          <w:szCs w:val="28"/>
        </w:rPr>
      </w:pPr>
      <w:r>
        <w:rPr>
          <w:rFonts w:ascii="Titillium" w:hAnsi="Titillium"/>
          <w:b/>
          <w:i/>
          <w:sz w:val="28"/>
          <w:szCs w:val="28"/>
        </w:rPr>
        <w:t>3</w:t>
      </w:r>
      <w:r w:rsidR="00FD21F8" w:rsidRPr="00326A1D">
        <w:rPr>
          <w:rFonts w:ascii="Titillium" w:hAnsi="Titillium"/>
          <w:b/>
          <w:i/>
          <w:sz w:val="28"/>
          <w:szCs w:val="28"/>
        </w:rPr>
        <w:t>. Technické vybavení</w:t>
      </w:r>
    </w:p>
    <w:p w:rsidR="00FD21F8" w:rsidRPr="00326A1D" w:rsidRDefault="00FD21F8" w:rsidP="00FD21F8">
      <w:pPr>
        <w:rPr>
          <w:rFonts w:ascii="Titillium" w:hAnsi="Titillium"/>
        </w:rPr>
      </w:pPr>
      <w:r w:rsidRPr="00326A1D">
        <w:rPr>
          <w:rFonts w:ascii="Titillium" w:hAnsi="Titillium"/>
          <w:sz w:val="24"/>
          <w:szCs w:val="24"/>
        </w:rPr>
        <w:tab/>
      </w:r>
    </w:p>
    <w:p w:rsidR="00FD21F8" w:rsidRPr="00326A1D" w:rsidRDefault="00FD21F8" w:rsidP="00FD21F8">
      <w:pPr>
        <w:ind w:firstLine="708"/>
        <w:rPr>
          <w:rFonts w:ascii="Titillium" w:hAnsi="Titillium"/>
          <w:b/>
        </w:rPr>
      </w:pPr>
      <w:r w:rsidRPr="00326A1D">
        <w:rPr>
          <w:rFonts w:ascii="Titillium" w:hAnsi="Titillium"/>
        </w:rPr>
        <w:t xml:space="preserve">Použité </w:t>
      </w:r>
      <w:proofErr w:type="gramStart"/>
      <w:r w:rsidRPr="00326A1D">
        <w:rPr>
          <w:rFonts w:ascii="Titillium" w:hAnsi="Titillium"/>
        </w:rPr>
        <w:t>přístroje :</w:t>
      </w:r>
      <w:r w:rsidRPr="00326A1D">
        <w:rPr>
          <w:rFonts w:ascii="Titillium" w:hAnsi="Titillium"/>
        </w:rPr>
        <w:tab/>
      </w:r>
      <w:proofErr w:type="spellStart"/>
      <w:r w:rsidR="00BB3834">
        <w:rPr>
          <w:rFonts w:ascii="Titillium" w:hAnsi="Titillium"/>
          <w:b/>
        </w:rPr>
        <w:t>Trimble</w:t>
      </w:r>
      <w:proofErr w:type="spellEnd"/>
      <w:proofErr w:type="gramEnd"/>
      <w:r w:rsidR="00BB3834">
        <w:rPr>
          <w:rFonts w:ascii="Titillium" w:hAnsi="Titillium"/>
          <w:b/>
        </w:rPr>
        <w:t xml:space="preserve"> </w:t>
      </w:r>
      <w:r w:rsidR="00065D28">
        <w:rPr>
          <w:rFonts w:ascii="Titillium" w:hAnsi="Titillium"/>
          <w:b/>
        </w:rPr>
        <w:t>S6,</w:t>
      </w:r>
      <w:r w:rsidR="00970420">
        <w:rPr>
          <w:rFonts w:ascii="Titillium" w:hAnsi="Titillium"/>
          <w:b/>
        </w:rPr>
        <w:t xml:space="preserve"> R10,</w:t>
      </w:r>
      <w:r w:rsidR="00983C8F">
        <w:rPr>
          <w:rFonts w:ascii="Titillium" w:hAnsi="Titillium"/>
          <w:b/>
        </w:rPr>
        <w:t xml:space="preserve"> </w:t>
      </w:r>
      <w:r w:rsidRPr="00326A1D">
        <w:rPr>
          <w:rFonts w:ascii="Titillium" w:hAnsi="Titillium"/>
          <w:b/>
        </w:rPr>
        <w:t>pásmo</w:t>
      </w:r>
    </w:p>
    <w:p w:rsidR="00FD21F8" w:rsidRPr="00326A1D" w:rsidRDefault="00FD21F8" w:rsidP="00FD21F8">
      <w:pPr>
        <w:rPr>
          <w:rFonts w:ascii="Titillium" w:hAnsi="Titillium"/>
          <w:b/>
        </w:rPr>
      </w:pPr>
      <w:r w:rsidRPr="00326A1D">
        <w:rPr>
          <w:rFonts w:ascii="Titillium" w:hAnsi="Titillium"/>
          <w:b/>
        </w:rPr>
        <w:tab/>
      </w:r>
      <w:r w:rsidRPr="00326A1D">
        <w:rPr>
          <w:rFonts w:ascii="Titillium" w:hAnsi="Titillium"/>
        </w:rPr>
        <w:t>Geodetické výpočty:</w:t>
      </w:r>
      <w:r w:rsidRPr="00326A1D">
        <w:rPr>
          <w:rFonts w:ascii="Titillium" w:hAnsi="Titillium"/>
          <w:b/>
        </w:rPr>
        <w:t xml:space="preserve"> </w:t>
      </w:r>
      <w:r w:rsidRPr="00326A1D">
        <w:rPr>
          <w:rFonts w:ascii="Titillium" w:hAnsi="Titillium"/>
          <w:b/>
        </w:rPr>
        <w:tab/>
      </w:r>
      <w:proofErr w:type="spellStart"/>
      <w:r w:rsidRPr="00326A1D">
        <w:rPr>
          <w:rFonts w:ascii="Titillium" w:hAnsi="Titillium"/>
          <w:b/>
        </w:rPr>
        <w:t>Groma</w:t>
      </w:r>
      <w:proofErr w:type="spellEnd"/>
      <w:r w:rsidRPr="00326A1D">
        <w:rPr>
          <w:rFonts w:ascii="Titillium" w:hAnsi="Titillium"/>
          <w:b/>
        </w:rPr>
        <w:t xml:space="preserve"> v. 11.0</w:t>
      </w:r>
    </w:p>
    <w:p w:rsidR="00FD21F8" w:rsidRPr="00326A1D" w:rsidRDefault="00FD21F8" w:rsidP="00FD21F8">
      <w:pPr>
        <w:rPr>
          <w:rFonts w:ascii="Titillium" w:hAnsi="Titillium"/>
          <w:b/>
        </w:rPr>
      </w:pPr>
      <w:r w:rsidRPr="00326A1D">
        <w:rPr>
          <w:rFonts w:ascii="Titillium" w:hAnsi="Titillium"/>
          <w:b/>
        </w:rPr>
        <w:tab/>
      </w:r>
      <w:r w:rsidRPr="00326A1D">
        <w:rPr>
          <w:rFonts w:ascii="Titillium" w:hAnsi="Titillium"/>
        </w:rPr>
        <w:t>Grafické zpracování:</w:t>
      </w:r>
      <w:r w:rsidRPr="00326A1D">
        <w:rPr>
          <w:rFonts w:ascii="Titillium" w:hAnsi="Titillium"/>
          <w:b/>
        </w:rPr>
        <w:t xml:space="preserve"> </w:t>
      </w:r>
      <w:r w:rsidRPr="00326A1D">
        <w:rPr>
          <w:rFonts w:ascii="Titillium" w:hAnsi="Titillium"/>
          <w:b/>
        </w:rPr>
        <w:tab/>
      </w:r>
      <w:proofErr w:type="spellStart"/>
      <w:r w:rsidRPr="00326A1D">
        <w:rPr>
          <w:rFonts w:ascii="Titillium" w:hAnsi="Titillium"/>
          <w:b/>
        </w:rPr>
        <w:t>MicroStation</w:t>
      </w:r>
      <w:proofErr w:type="spellEnd"/>
      <w:r w:rsidRPr="00326A1D">
        <w:rPr>
          <w:rFonts w:ascii="Titillium" w:hAnsi="Titillium"/>
          <w:b/>
        </w:rPr>
        <w:t xml:space="preserve"> V8i</w:t>
      </w:r>
    </w:p>
    <w:p w:rsidR="0029755D" w:rsidRPr="002467BA" w:rsidRDefault="0029755D" w:rsidP="002467BA">
      <w:pPr>
        <w:pStyle w:val="Nadpis1"/>
        <w:keepNext/>
        <w:jc w:val="center"/>
        <w:rPr>
          <w:rFonts w:ascii="Titillium" w:hAnsi="Titillium"/>
          <w:b w:val="0"/>
          <w:color w:val="FF0000"/>
          <w:sz w:val="32"/>
        </w:rPr>
      </w:pPr>
    </w:p>
    <w:p w:rsidR="00FD21F8" w:rsidRPr="00326A1D" w:rsidRDefault="00FD21F8" w:rsidP="00FD21F8">
      <w:pPr>
        <w:rPr>
          <w:rFonts w:ascii="Titillium" w:hAnsi="Titillium"/>
          <w:b/>
          <w:i/>
          <w:sz w:val="28"/>
          <w:szCs w:val="28"/>
        </w:rPr>
      </w:pPr>
      <w:r w:rsidRPr="00326A1D">
        <w:rPr>
          <w:rFonts w:ascii="Titillium" w:hAnsi="Titillium"/>
          <w:b/>
          <w:i/>
          <w:sz w:val="28"/>
          <w:szCs w:val="28"/>
        </w:rPr>
        <w:t>4. Popis účelové mapy</w:t>
      </w:r>
    </w:p>
    <w:p w:rsidR="00FD21F8" w:rsidRPr="00326A1D" w:rsidRDefault="00FD21F8" w:rsidP="00FD21F8">
      <w:pPr>
        <w:rPr>
          <w:rFonts w:ascii="Titillium" w:hAnsi="Titillium"/>
        </w:rPr>
      </w:pPr>
    </w:p>
    <w:p w:rsidR="00FD21F8" w:rsidRPr="00326A1D" w:rsidRDefault="00FD21F8" w:rsidP="00FD21F8">
      <w:pPr>
        <w:ind w:firstLine="708"/>
        <w:rPr>
          <w:rFonts w:ascii="Titillium" w:hAnsi="Titillium"/>
        </w:rPr>
      </w:pPr>
      <w:r w:rsidRPr="00326A1D">
        <w:rPr>
          <w:rFonts w:ascii="Titillium" w:hAnsi="Titillium"/>
        </w:rPr>
        <w:t>Grafické zpracování bylo provedeno ve formátu DGN a odpovídá „Předpisu pro vyhotovení geodetické dokumentace skutečného provedení staveb (Mp-SÚ3200-01).“</w:t>
      </w:r>
      <w:r w:rsidRPr="00326A1D">
        <w:rPr>
          <w:rFonts w:ascii="Titillium" w:hAnsi="Titillium"/>
          <w:b/>
          <w:i/>
        </w:rPr>
        <w:tab/>
      </w:r>
    </w:p>
    <w:p w:rsidR="005910C0" w:rsidRPr="002467BA" w:rsidRDefault="005910C0" w:rsidP="002467BA">
      <w:pPr>
        <w:pStyle w:val="Nadpis1"/>
        <w:keepNext/>
        <w:jc w:val="center"/>
        <w:rPr>
          <w:rFonts w:ascii="Titillium" w:hAnsi="Titillium"/>
          <w:b w:val="0"/>
          <w:color w:val="FF0000"/>
          <w:sz w:val="32"/>
        </w:rPr>
      </w:pPr>
    </w:p>
    <w:p w:rsidR="00FD21F8" w:rsidRPr="00326A1D" w:rsidRDefault="00FD21F8" w:rsidP="00FD21F8">
      <w:pPr>
        <w:rPr>
          <w:rFonts w:ascii="Titillium" w:hAnsi="Titillium"/>
          <w:b/>
          <w:i/>
          <w:sz w:val="28"/>
          <w:szCs w:val="28"/>
        </w:rPr>
      </w:pPr>
      <w:r w:rsidRPr="00326A1D">
        <w:rPr>
          <w:rFonts w:ascii="Titillium" w:hAnsi="Titillium"/>
          <w:b/>
          <w:i/>
          <w:sz w:val="28"/>
          <w:szCs w:val="28"/>
        </w:rPr>
        <w:t>5. Obsah dokumentace</w:t>
      </w:r>
    </w:p>
    <w:p w:rsidR="00FD21F8" w:rsidRPr="00326A1D" w:rsidRDefault="00FD21F8" w:rsidP="00FD21F8">
      <w:pPr>
        <w:rPr>
          <w:rFonts w:ascii="Titillium" w:hAnsi="Titillium"/>
        </w:rPr>
      </w:pPr>
      <w:r w:rsidRPr="00326A1D">
        <w:rPr>
          <w:rFonts w:ascii="Titillium" w:hAnsi="Titillium"/>
          <w:sz w:val="24"/>
          <w:szCs w:val="24"/>
        </w:rPr>
        <w:tab/>
      </w:r>
    </w:p>
    <w:p w:rsidR="00970420" w:rsidRPr="00326A1D" w:rsidRDefault="00970420" w:rsidP="00970420">
      <w:pPr>
        <w:ind w:firstLine="680"/>
        <w:rPr>
          <w:rFonts w:ascii="Titillium" w:hAnsi="Titillium"/>
        </w:rPr>
      </w:pPr>
      <w:r w:rsidRPr="00326A1D">
        <w:rPr>
          <w:rFonts w:ascii="Titillium" w:hAnsi="Titillium"/>
          <w:b/>
        </w:rPr>
        <w:t xml:space="preserve">PŘÍLOHA ČÍSLO 1 </w:t>
      </w:r>
      <w:r w:rsidRPr="00CD4153">
        <w:rPr>
          <w:rFonts w:ascii="Titillium" w:hAnsi="Titillium"/>
        </w:rPr>
        <w:t>–</w:t>
      </w:r>
      <w:r>
        <w:rPr>
          <w:rFonts w:ascii="Titillium" w:hAnsi="Titillium"/>
        </w:rPr>
        <w:t xml:space="preserve"> </w:t>
      </w:r>
      <w:r w:rsidRPr="00326A1D">
        <w:rPr>
          <w:rFonts w:ascii="Titillium" w:hAnsi="Titillium"/>
        </w:rPr>
        <w:t>technická zpráva</w:t>
      </w:r>
    </w:p>
    <w:p w:rsidR="00970420" w:rsidRPr="00326A1D" w:rsidRDefault="00970420" w:rsidP="00970420">
      <w:pPr>
        <w:ind w:firstLine="680"/>
        <w:rPr>
          <w:rFonts w:ascii="Titillium" w:hAnsi="Titillium"/>
        </w:rPr>
      </w:pPr>
      <w:r w:rsidRPr="00326A1D">
        <w:rPr>
          <w:rFonts w:ascii="Titillium" w:hAnsi="Titillium"/>
          <w:b/>
        </w:rPr>
        <w:t xml:space="preserve">PŘÍLOHA ČÍSLO 2 </w:t>
      </w:r>
      <w:r w:rsidRPr="00CD4153">
        <w:rPr>
          <w:rFonts w:ascii="Titillium" w:hAnsi="Titillium"/>
        </w:rPr>
        <w:t>–</w:t>
      </w:r>
      <w:r>
        <w:rPr>
          <w:rFonts w:ascii="Titillium" w:hAnsi="Titillium"/>
        </w:rPr>
        <w:t xml:space="preserve"> </w:t>
      </w:r>
      <w:r w:rsidRPr="00302D39">
        <w:rPr>
          <w:rFonts w:ascii="Titillium" w:hAnsi="Titillium"/>
        </w:rPr>
        <w:t>seznam souřadnic a výšek podrobných bodů</w:t>
      </w:r>
    </w:p>
    <w:p w:rsidR="00970420" w:rsidRDefault="00970420" w:rsidP="00970420">
      <w:pPr>
        <w:ind w:firstLine="680"/>
        <w:rPr>
          <w:rFonts w:ascii="Titillium" w:hAnsi="Titillium"/>
        </w:rPr>
      </w:pPr>
      <w:r w:rsidRPr="00326A1D">
        <w:rPr>
          <w:rFonts w:ascii="Titillium" w:hAnsi="Titillium"/>
          <w:b/>
        </w:rPr>
        <w:t xml:space="preserve">PŘÍLOHA ČÍSLO 3 </w:t>
      </w:r>
      <w:r w:rsidRPr="00CD4153">
        <w:rPr>
          <w:rFonts w:ascii="Titillium" w:hAnsi="Titillium"/>
        </w:rPr>
        <w:t>–</w:t>
      </w:r>
      <w:r>
        <w:rPr>
          <w:rFonts w:ascii="Titillium" w:hAnsi="Titillium"/>
        </w:rPr>
        <w:t xml:space="preserve"> </w:t>
      </w:r>
      <w:r w:rsidRPr="00F228FF">
        <w:rPr>
          <w:rFonts w:ascii="Titillium" w:hAnsi="Titillium"/>
        </w:rPr>
        <w:t>přehledný náčrt bodů bodového pole</w:t>
      </w:r>
    </w:p>
    <w:p w:rsidR="00970420" w:rsidRDefault="00970420" w:rsidP="00970420">
      <w:pPr>
        <w:ind w:firstLine="680"/>
        <w:rPr>
          <w:rFonts w:ascii="Titillium" w:hAnsi="Titillium"/>
        </w:rPr>
      </w:pPr>
      <w:r w:rsidRPr="00326A1D">
        <w:rPr>
          <w:rFonts w:ascii="Titillium" w:hAnsi="Titillium"/>
          <w:b/>
        </w:rPr>
        <w:t xml:space="preserve">PŘÍLOHA ČÍSLO </w:t>
      </w:r>
      <w:r>
        <w:rPr>
          <w:rFonts w:ascii="Titillium" w:hAnsi="Titillium"/>
          <w:b/>
        </w:rPr>
        <w:t>4</w:t>
      </w:r>
      <w:r w:rsidRPr="00326A1D">
        <w:rPr>
          <w:rFonts w:ascii="Titillium" w:hAnsi="Titillium"/>
          <w:b/>
        </w:rPr>
        <w:t xml:space="preserve"> </w:t>
      </w:r>
      <w:r w:rsidRPr="00CD4153">
        <w:rPr>
          <w:rFonts w:ascii="Titillium" w:hAnsi="Titillium"/>
        </w:rPr>
        <w:t>–</w:t>
      </w:r>
      <w:r>
        <w:rPr>
          <w:rFonts w:ascii="Titillium" w:hAnsi="Titillium"/>
        </w:rPr>
        <w:t xml:space="preserve"> </w:t>
      </w:r>
      <w:r w:rsidRPr="00F228FF">
        <w:rPr>
          <w:rFonts w:ascii="Titillium" w:hAnsi="Titillium"/>
        </w:rPr>
        <w:t>geodetické údaje o bodech bodového pole</w:t>
      </w:r>
    </w:p>
    <w:p w:rsidR="00970420" w:rsidRDefault="00970420" w:rsidP="00970420">
      <w:pPr>
        <w:ind w:firstLine="680"/>
        <w:rPr>
          <w:rFonts w:ascii="Titillium" w:hAnsi="Titillium"/>
        </w:rPr>
      </w:pPr>
      <w:r w:rsidRPr="00326A1D">
        <w:rPr>
          <w:rFonts w:ascii="Titillium" w:hAnsi="Titillium"/>
          <w:b/>
        </w:rPr>
        <w:t xml:space="preserve">PŘÍLOHA ČÍSLO </w:t>
      </w:r>
      <w:r>
        <w:rPr>
          <w:rFonts w:ascii="Titillium" w:hAnsi="Titillium"/>
          <w:b/>
        </w:rPr>
        <w:t>5</w:t>
      </w:r>
      <w:r w:rsidRPr="00326A1D">
        <w:rPr>
          <w:rFonts w:ascii="Titillium" w:hAnsi="Titillium"/>
          <w:b/>
        </w:rPr>
        <w:t xml:space="preserve"> </w:t>
      </w:r>
      <w:r w:rsidRPr="00CD4153">
        <w:rPr>
          <w:rFonts w:ascii="Titillium" w:hAnsi="Titillium"/>
        </w:rPr>
        <w:t>–</w:t>
      </w:r>
      <w:r>
        <w:rPr>
          <w:rFonts w:ascii="Titillium" w:hAnsi="Titillium"/>
        </w:rPr>
        <w:t xml:space="preserve"> </w:t>
      </w:r>
      <w:r w:rsidRPr="00F228FF">
        <w:rPr>
          <w:rFonts w:ascii="Titillium" w:hAnsi="Titillium"/>
        </w:rPr>
        <w:t>účelová mapa 1:250 s výškami bodů</w:t>
      </w:r>
    </w:p>
    <w:p w:rsidR="00970420" w:rsidRDefault="00970420" w:rsidP="00970420">
      <w:pPr>
        <w:ind w:firstLine="680"/>
        <w:rPr>
          <w:rFonts w:ascii="Titillium" w:hAnsi="Titillium"/>
        </w:rPr>
      </w:pPr>
      <w:r w:rsidRPr="00326A1D">
        <w:rPr>
          <w:rFonts w:ascii="Titillium" w:hAnsi="Titillium"/>
          <w:b/>
        </w:rPr>
        <w:t xml:space="preserve">PŘÍLOHA ČÍSLO </w:t>
      </w:r>
      <w:r>
        <w:rPr>
          <w:rFonts w:ascii="Titillium" w:hAnsi="Titillium"/>
          <w:b/>
        </w:rPr>
        <w:t>6</w:t>
      </w:r>
      <w:r w:rsidRPr="00326A1D">
        <w:rPr>
          <w:rFonts w:ascii="Titillium" w:hAnsi="Titillium"/>
          <w:b/>
        </w:rPr>
        <w:t xml:space="preserve"> </w:t>
      </w:r>
      <w:r w:rsidRPr="00CD4153">
        <w:rPr>
          <w:rFonts w:ascii="Titillium" w:hAnsi="Titillium"/>
        </w:rPr>
        <w:t>– výkaz výměr</w:t>
      </w:r>
    </w:p>
    <w:p w:rsidR="00970420" w:rsidRPr="00326A1D" w:rsidRDefault="00970420" w:rsidP="00970420">
      <w:pPr>
        <w:ind w:firstLine="680"/>
        <w:rPr>
          <w:rFonts w:ascii="Titillium" w:hAnsi="Titillium"/>
          <w:b/>
        </w:rPr>
      </w:pPr>
      <w:r w:rsidRPr="00326A1D">
        <w:rPr>
          <w:rFonts w:ascii="Titillium" w:hAnsi="Titillium"/>
          <w:b/>
        </w:rPr>
        <w:t xml:space="preserve">PŘÍLOHA ČÍSLO </w:t>
      </w:r>
      <w:r>
        <w:rPr>
          <w:rFonts w:ascii="Titillium" w:hAnsi="Titillium"/>
          <w:b/>
        </w:rPr>
        <w:t>7</w:t>
      </w:r>
      <w:r w:rsidRPr="00326A1D">
        <w:rPr>
          <w:rFonts w:ascii="Titillium" w:hAnsi="Titillium"/>
          <w:b/>
        </w:rPr>
        <w:t xml:space="preserve"> </w:t>
      </w:r>
      <w:r w:rsidRPr="00CD4153">
        <w:rPr>
          <w:rFonts w:ascii="Titillium" w:hAnsi="Titillium"/>
        </w:rPr>
        <w:t>–</w:t>
      </w:r>
      <w:r>
        <w:rPr>
          <w:rFonts w:ascii="Titillium" w:hAnsi="Titillium"/>
        </w:rPr>
        <w:t xml:space="preserve"> </w:t>
      </w:r>
      <w:r w:rsidRPr="002A135D">
        <w:rPr>
          <w:rFonts w:ascii="Titillium" w:hAnsi="Titillium"/>
        </w:rPr>
        <w:t>textové a grafické soubory uložené na CD.</w:t>
      </w:r>
    </w:p>
    <w:p w:rsidR="003A3A0B" w:rsidRDefault="003A3A0B" w:rsidP="00FD21F8">
      <w:pPr>
        <w:pStyle w:val="Prosttext"/>
        <w:rPr>
          <w:rFonts w:ascii="Titillium" w:hAnsi="Titillium"/>
        </w:rPr>
      </w:pPr>
    </w:p>
    <w:p w:rsidR="00632DC5" w:rsidRDefault="00632DC5" w:rsidP="00FD21F8">
      <w:pPr>
        <w:pStyle w:val="Prosttext"/>
        <w:rPr>
          <w:rFonts w:ascii="Titillium" w:hAnsi="Titillium"/>
        </w:rPr>
      </w:pPr>
    </w:p>
    <w:p w:rsidR="00970420" w:rsidRPr="002A135D" w:rsidRDefault="00970420" w:rsidP="00970420">
      <w:pPr>
        <w:pStyle w:val="Prosttext"/>
        <w:rPr>
          <w:rFonts w:ascii="Titillium" w:hAnsi="Titillium"/>
        </w:rPr>
      </w:pPr>
      <w:r w:rsidRPr="002A135D">
        <w:rPr>
          <w:rFonts w:ascii="Titillium" w:hAnsi="Titillium"/>
        </w:rPr>
        <w:t>V</w:t>
      </w:r>
      <w:r w:rsidRPr="002A135D">
        <w:rPr>
          <w:rFonts w:ascii="Calibri" w:hAnsi="Calibri" w:cs="Calibri"/>
        </w:rPr>
        <w:t> </w:t>
      </w:r>
      <w:r w:rsidRPr="002A135D">
        <w:rPr>
          <w:rFonts w:ascii="Titillium" w:hAnsi="Titillium"/>
        </w:rPr>
        <w:t>Brn</w:t>
      </w:r>
      <w:r w:rsidRPr="002A135D">
        <w:rPr>
          <w:rFonts w:ascii="Titillium" w:hAnsi="Titillium" w:cs="Titillium"/>
        </w:rPr>
        <w:t>ě</w:t>
      </w:r>
      <w:r w:rsidRPr="002A135D">
        <w:rPr>
          <w:rFonts w:ascii="Titillium" w:hAnsi="Titillium"/>
        </w:rPr>
        <w:t xml:space="preserve"> </w:t>
      </w:r>
      <w:r w:rsidR="00966AED">
        <w:rPr>
          <w:rFonts w:ascii="Titillium" w:hAnsi="Titillium"/>
        </w:rPr>
        <w:t>23</w:t>
      </w:r>
      <w:r>
        <w:rPr>
          <w:rFonts w:ascii="Titillium" w:hAnsi="Titillium"/>
        </w:rPr>
        <w:t xml:space="preserve">. </w:t>
      </w:r>
      <w:r w:rsidR="00DC38D6">
        <w:rPr>
          <w:rFonts w:ascii="Titillium" w:hAnsi="Titillium"/>
        </w:rPr>
        <w:t>ří</w:t>
      </w:r>
      <w:r w:rsidR="00A75DB8">
        <w:rPr>
          <w:rFonts w:ascii="Titillium" w:hAnsi="Titillium"/>
        </w:rPr>
        <w:t>jna</w:t>
      </w:r>
      <w:r w:rsidRPr="002A135D">
        <w:rPr>
          <w:rFonts w:ascii="Titillium" w:hAnsi="Titillium"/>
        </w:rPr>
        <w:t xml:space="preserve"> </w:t>
      </w:r>
      <w:proofErr w:type="gramStart"/>
      <w:r w:rsidRPr="002A135D">
        <w:rPr>
          <w:rFonts w:ascii="Titillium" w:hAnsi="Titillium"/>
        </w:rPr>
        <w:t>201</w:t>
      </w:r>
      <w:r>
        <w:rPr>
          <w:rFonts w:ascii="Titillium" w:hAnsi="Titillium"/>
        </w:rPr>
        <w:t xml:space="preserve">7  </w:t>
      </w:r>
      <w:r w:rsidRPr="002A135D">
        <w:rPr>
          <w:rFonts w:ascii="Titillium" w:hAnsi="Titillium"/>
        </w:rPr>
        <w:t xml:space="preserve">                   </w:t>
      </w:r>
      <w:r>
        <w:rPr>
          <w:rFonts w:ascii="Titillium" w:hAnsi="Titillium"/>
        </w:rPr>
        <w:t xml:space="preserve"> </w:t>
      </w:r>
      <w:r w:rsidRPr="002A135D">
        <w:rPr>
          <w:rFonts w:ascii="Titillium" w:hAnsi="Titillium"/>
        </w:rPr>
        <w:t xml:space="preserve">                         </w:t>
      </w:r>
      <w:r>
        <w:rPr>
          <w:rFonts w:ascii="Titillium" w:hAnsi="Titillium"/>
        </w:rPr>
        <w:t xml:space="preserve">    </w:t>
      </w:r>
      <w:r w:rsidRPr="002A135D">
        <w:rPr>
          <w:rFonts w:ascii="Titillium" w:hAnsi="Titillium"/>
        </w:rPr>
        <w:t xml:space="preserve"> </w:t>
      </w:r>
      <w:r w:rsidR="00DC38D6">
        <w:rPr>
          <w:rFonts w:ascii="Titillium" w:hAnsi="Titillium"/>
        </w:rPr>
        <w:t xml:space="preserve">       </w:t>
      </w:r>
      <w:r w:rsidRPr="002A135D">
        <w:rPr>
          <w:rFonts w:ascii="Titillium" w:hAnsi="Titillium"/>
        </w:rPr>
        <w:t xml:space="preserve">               </w:t>
      </w:r>
      <w:r>
        <w:rPr>
          <w:rFonts w:ascii="Titillium" w:hAnsi="Titillium"/>
        </w:rPr>
        <w:t xml:space="preserve">      </w:t>
      </w:r>
      <w:r w:rsidRPr="002A135D">
        <w:rPr>
          <w:rFonts w:ascii="Titillium" w:hAnsi="Titillium"/>
        </w:rPr>
        <w:t xml:space="preserve">                         vypracoval</w:t>
      </w:r>
      <w:proofErr w:type="gramEnd"/>
      <w:r w:rsidRPr="002A135D">
        <w:rPr>
          <w:rFonts w:ascii="Titillium" w:hAnsi="Titillium"/>
        </w:rPr>
        <w:t>: .…………………..…..……</w:t>
      </w:r>
    </w:p>
    <w:p w:rsidR="00970420" w:rsidRPr="002A135D" w:rsidRDefault="00970420" w:rsidP="00970420">
      <w:pPr>
        <w:pStyle w:val="Prosttext"/>
        <w:ind w:left="6800" w:firstLine="680"/>
        <w:rPr>
          <w:rFonts w:ascii="Titillium" w:hAnsi="Titillium"/>
        </w:rPr>
      </w:pPr>
      <w:r>
        <w:rPr>
          <w:rFonts w:ascii="Titillium" w:hAnsi="Titillium"/>
        </w:rPr>
        <w:t xml:space="preserve">        </w:t>
      </w:r>
      <w:r w:rsidRPr="002A135D">
        <w:rPr>
          <w:rFonts w:ascii="Titillium" w:hAnsi="Titillium"/>
        </w:rPr>
        <w:t>Petr Vago</w:t>
      </w:r>
    </w:p>
    <w:p w:rsidR="00970420" w:rsidRDefault="00970420" w:rsidP="00970420">
      <w:pPr>
        <w:pStyle w:val="Prosttext"/>
        <w:rPr>
          <w:rFonts w:ascii="Titillium" w:hAnsi="Titillium"/>
          <w:sz w:val="16"/>
          <w:szCs w:val="16"/>
        </w:rPr>
      </w:pPr>
    </w:p>
    <w:p w:rsidR="00970420" w:rsidRDefault="00970420" w:rsidP="00970420">
      <w:pPr>
        <w:pStyle w:val="Prosttext"/>
        <w:rPr>
          <w:rFonts w:ascii="Titillium" w:hAnsi="Titillium"/>
          <w:sz w:val="16"/>
          <w:szCs w:val="16"/>
        </w:rPr>
      </w:pPr>
    </w:p>
    <w:p w:rsidR="00970420" w:rsidRDefault="00970420" w:rsidP="00970420">
      <w:pPr>
        <w:pStyle w:val="Prosttext"/>
        <w:ind w:left="5245"/>
        <w:jc w:val="center"/>
        <w:rPr>
          <w:rFonts w:ascii="Titillium" w:hAnsi="Titillium"/>
          <w:sz w:val="16"/>
          <w:szCs w:val="16"/>
        </w:rPr>
      </w:pPr>
      <w:r w:rsidRPr="00CD4153">
        <w:rPr>
          <w:rFonts w:ascii="Titillium" w:hAnsi="Titillium"/>
          <w:sz w:val="16"/>
          <w:szCs w:val="16"/>
        </w:rPr>
        <w:t>Náležitostmi a přesností odpovídá právním předpisům</w:t>
      </w:r>
    </w:p>
    <w:p w:rsidR="00970420" w:rsidRPr="00EC7FE4" w:rsidRDefault="00970420" w:rsidP="00970420">
      <w:pPr>
        <w:pStyle w:val="Prosttext"/>
        <w:ind w:left="5245"/>
        <w:jc w:val="center"/>
        <w:rPr>
          <w:rFonts w:ascii="Titillium" w:hAnsi="Titillium"/>
          <w:sz w:val="16"/>
          <w:szCs w:val="16"/>
        </w:rPr>
      </w:pPr>
      <w:r w:rsidRPr="00CD4153">
        <w:rPr>
          <w:rFonts w:ascii="Titillium" w:hAnsi="Titillium"/>
          <w:sz w:val="16"/>
          <w:szCs w:val="16"/>
        </w:rPr>
        <w:t>a podmínkám písemně dohodnutým s objednatelem</w:t>
      </w:r>
    </w:p>
    <w:p w:rsidR="00970420" w:rsidRPr="00EC7FE4" w:rsidRDefault="00970420" w:rsidP="00970420">
      <w:pPr>
        <w:pStyle w:val="Prosttext"/>
        <w:rPr>
          <w:rFonts w:ascii="Titillium" w:hAnsi="Titillium"/>
          <w:sz w:val="16"/>
          <w:szCs w:val="16"/>
        </w:rPr>
      </w:pPr>
    </w:p>
    <w:p w:rsidR="00970420" w:rsidRDefault="00970420" w:rsidP="00970420">
      <w:pPr>
        <w:pStyle w:val="Prosttext"/>
        <w:rPr>
          <w:rFonts w:ascii="Titillium" w:hAnsi="Titillium"/>
          <w:b/>
          <w:sz w:val="16"/>
          <w:szCs w:val="16"/>
        </w:rPr>
      </w:pPr>
    </w:p>
    <w:p w:rsidR="00970420" w:rsidRDefault="00970420" w:rsidP="00970420">
      <w:pPr>
        <w:pStyle w:val="Prosttext"/>
        <w:rPr>
          <w:rFonts w:ascii="Titillium" w:hAnsi="Titillium"/>
          <w:b/>
          <w:sz w:val="16"/>
          <w:szCs w:val="16"/>
        </w:rPr>
      </w:pPr>
    </w:p>
    <w:p w:rsidR="00970420" w:rsidRDefault="00970420" w:rsidP="00970420">
      <w:pPr>
        <w:pStyle w:val="Prosttext"/>
        <w:rPr>
          <w:rFonts w:ascii="Titillium" w:hAnsi="Titillium"/>
          <w:b/>
          <w:sz w:val="16"/>
          <w:szCs w:val="16"/>
        </w:rPr>
      </w:pPr>
    </w:p>
    <w:p w:rsidR="00970420" w:rsidRDefault="00970420" w:rsidP="00970420">
      <w:pPr>
        <w:pStyle w:val="Prosttext"/>
        <w:rPr>
          <w:rFonts w:ascii="Titillium" w:hAnsi="Titillium"/>
          <w:b/>
          <w:sz w:val="16"/>
          <w:szCs w:val="16"/>
        </w:rPr>
      </w:pPr>
    </w:p>
    <w:p w:rsidR="00970420" w:rsidRDefault="00970420" w:rsidP="00970420">
      <w:pPr>
        <w:pStyle w:val="Prosttext"/>
        <w:rPr>
          <w:rFonts w:ascii="Titillium" w:hAnsi="Titillium"/>
          <w:b/>
          <w:sz w:val="16"/>
          <w:szCs w:val="16"/>
        </w:rPr>
      </w:pPr>
    </w:p>
    <w:p w:rsidR="00970420" w:rsidRDefault="00970420" w:rsidP="00970420">
      <w:pPr>
        <w:pStyle w:val="Prosttext"/>
        <w:rPr>
          <w:rFonts w:ascii="Titillium" w:hAnsi="Titillium"/>
          <w:b/>
          <w:sz w:val="16"/>
          <w:szCs w:val="16"/>
        </w:rPr>
      </w:pPr>
    </w:p>
    <w:p w:rsidR="00970420" w:rsidRDefault="00970420" w:rsidP="00970420">
      <w:pPr>
        <w:pStyle w:val="Prosttext"/>
        <w:rPr>
          <w:rFonts w:ascii="Titillium" w:hAnsi="Titillium"/>
          <w:b/>
          <w:sz w:val="16"/>
          <w:szCs w:val="16"/>
        </w:rPr>
      </w:pPr>
    </w:p>
    <w:p w:rsidR="00970420" w:rsidRDefault="00970420" w:rsidP="00970420">
      <w:pPr>
        <w:pStyle w:val="Prosttext"/>
        <w:rPr>
          <w:rFonts w:ascii="Titillium" w:hAnsi="Titillium"/>
          <w:b/>
          <w:sz w:val="16"/>
          <w:szCs w:val="16"/>
        </w:rPr>
      </w:pPr>
    </w:p>
    <w:p w:rsidR="00970420" w:rsidRDefault="00970420" w:rsidP="00970420">
      <w:pPr>
        <w:pStyle w:val="Prosttext"/>
        <w:rPr>
          <w:rFonts w:ascii="Titillium" w:hAnsi="Titillium"/>
          <w:b/>
          <w:sz w:val="16"/>
          <w:szCs w:val="16"/>
        </w:rPr>
      </w:pPr>
    </w:p>
    <w:p w:rsidR="00970420" w:rsidRDefault="00970420" w:rsidP="00970420">
      <w:pPr>
        <w:pStyle w:val="Prosttext"/>
        <w:rPr>
          <w:rFonts w:ascii="Titillium" w:hAnsi="Titillium"/>
          <w:b/>
          <w:sz w:val="16"/>
          <w:szCs w:val="16"/>
        </w:rPr>
      </w:pPr>
    </w:p>
    <w:p w:rsidR="00970420" w:rsidRDefault="00970420" w:rsidP="00970420">
      <w:pPr>
        <w:pStyle w:val="Prosttext"/>
        <w:rPr>
          <w:rFonts w:ascii="Titillium" w:hAnsi="Titillium"/>
          <w:b/>
          <w:sz w:val="16"/>
          <w:szCs w:val="16"/>
        </w:rPr>
      </w:pPr>
    </w:p>
    <w:p w:rsidR="00970420" w:rsidRDefault="00970420" w:rsidP="00970420">
      <w:pPr>
        <w:pStyle w:val="Prosttext"/>
        <w:rPr>
          <w:rFonts w:ascii="Titillium" w:hAnsi="Titillium"/>
          <w:b/>
          <w:sz w:val="16"/>
          <w:szCs w:val="16"/>
        </w:rPr>
      </w:pPr>
    </w:p>
    <w:p w:rsidR="00970420" w:rsidRDefault="00970420" w:rsidP="00970420">
      <w:pPr>
        <w:pStyle w:val="Prosttext"/>
        <w:rPr>
          <w:rFonts w:ascii="Titillium" w:hAnsi="Titillium"/>
          <w:b/>
          <w:sz w:val="16"/>
          <w:szCs w:val="16"/>
        </w:rPr>
      </w:pPr>
    </w:p>
    <w:p w:rsidR="00970420" w:rsidRPr="00326A1D" w:rsidRDefault="00970420" w:rsidP="00970420">
      <w:pPr>
        <w:pStyle w:val="Prosttext"/>
        <w:rPr>
          <w:rFonts w:ascii="Titillium" w:hAnsi="Titillium"/>
          <w:spacing w:val="-20"/>
          <w:sz w:val="16"/>
          <w:szCs w:val="16"/>
        </w:rPr>
      </w:pPr>
      <w:r w:rsidRPr="00326A1D">
        <w:rPr>
          <w:rFonts w:ascii="Titillium" w:hAnsi="Titillium"/>
          <w:sz w:val="16"/>
          <w:szCs w:val="16"/>
        </w:rPr>
        <w:t xml:space="preserve">   </w:t>
      </w:r>
      <w:r w:rsidRPr="00326A1D">
        <w:rPr>
          <w:rFonts w:ascii="Titillium" w:hAnsi="Titillium"/>
          <w:sz w:val="16"/>
          <w:szCs w:val="16"/>
        </w:rPr>
        <w:tab/>
      </w:r>
    </w:p>
    <w:p w:rsidR="00970420" w:rsidRPr="00326A1D" w:rsidRDefault="00970420" w:rsidP="00970420">
      <w:pPr>
        <w:pStyle w:val="Prosttext"/>
        <w:rPr>
          <w:rFonts w:ascii="Titillium" w:hAnsi="Titillium"/>
          <w:spacing w:val="-20"/>
          <w:sz w:val="16"/>
          <w:szCs w:val="16"/>
        </w:rPr>
      </w:pPr>
      <w:r w:rsidRPr="00326A1D">
        <w:rPr>
          <w:rFonts w:ascii="Titillium" w:hAnsi="Titillium"/>
          <w:sz w:val="16"/>
          <w:szCs w:val="16"/>
        </w:rPr>
        <w:tab/>
        <w:t xml:space="preserve"> </w:t>
      </w:r>
      <w:r w:rsidRPr="00326A1D">
        <w:rPr>
          <w:rFonts w:ascii="Titillium" w:hAnsi="Titillium"/>
          <w:sz w:val="16"/>
          <w:szCs w:val="16"/>
        </w:rPr>
        <w:tab/>
      </w:r>
      <w:r w:rsidRPr="00326A1D">
        <w:rPr>
          <w:rFonts w:ascii="Titillium" w:hAnsi="Titillium"/>
          <w:sz w:val="16"/>
          <w:szCs w:val="16"/>
        </w:rPr>
        <w:tab/>
      </w:r>
      <w:r w:rsidRPr="00326A1D">
        <w:rPr>
          <w:rFonts w:ascii="Titillium" w:hAnsi="Titillium"/>
          <w:sz w:val="16"/>
          <w:szCs w:val="16"/>
        </w:rPr>
        <w:tab/>
      </w:r>
      <w:r w:rsidRPr="00326A1D">
        <w:rPr>
          <w:rFonts w:ascii="Titillium" w:hAnsi="Titillium"/>
          <w:sz w:val="16"/>
          <w:szCs w:val="16"/>
        </w:rPr>
        <w:tab/>
      </w:r>
      <w:r w:rsidRPr="00326A1D">
        <w:rPr>
          <w:rFonts w:ascii="Titillium" w:hAnsi="Titillium"/>
          <w:sz w:val="16"/>
          <w:szCs w:val="16"/>
        </w:rPr>
        <w:tab/>
      </w:r>
      <w:r w:rsidRPr="00326A1D">
        <w:rPr>
          <w:rFonts w:ascii="Titillium" w:hAnsi="Titillium"/>
          <w:sz w:val="16"/>
          <w:szCs w:val="16"/>
        </w:rPr>
        <w:tab/>
      </w:r>
      <w:r w:rsidRPr="00326A1D">
        <w:rPr>
          <w:rFonts w:ascii="Titillium" w:hAnsi="Titillium"/>
          <w:sz w:val="16"/>
          <w:szCs w:val="16"/>
        </w:rPr>
        <w:tab/>
      </w:r>
      <w:r w:rsidRPr="00326A1D">
        <w:rPr>
          <w:rFonts w:ascii="Titillium" w:hAnsi="Titillium"/>
          <w:sz w:val="16"/>
          <w:szCs w:val="16"/>
        </w:rPr>
        <w:tab/>
        <w:t xml:space="preserve"> </w:t>
      </w:r>
      <w:r>
        <w:rPr>
          <w:rFonts w:ascii="Titillium" w:hAnsi="Titillium"/>
          <w:sz w:val="16"/>
          <w:szCs w:val="16"/>
        </w:rPr>
        <w:t xml:space="preserve">  </w:t>
      </w:r>
      <w:r w:rsidRPr="00326A1D">
        <w:rPr>
          <w:rFonts w:ascii="Titillium" w:hAnsi="Titillium"/>
          <w:sz w:val="16"/>
          <w:szCs w:val="16"/>
        </w:rPr>
        <w:t xml:space="preserve">  </w:t>
      </w:r>
      <w:r w:rsidR="00385B49">
        <w:rPr>
          <w:rFonts w:ascii="Titillium" w:hAnsi="Titillium"/>
          <w:sz w:val="16"/>
          <w:szCs w:val="16"/>
        </w:rPr>
        <w:t xml:space="preserve">č. ověření:  </w:t>
      </w:r>
      <w:r w:rsidR="00966AED">
        <w:rPr>
          <w:rFonts w:ascii="Titillium" w:hAnsi="Titillium"/>
          <w:sz w:val="16"/>
          <w:szCs w:val="16"/>
        </w:rPr>
        <w:t>716</w:t>
      </w:r>
      <w:r>
        <w:rPr>
          <w:rFonts w:ascii="Titillium" w:hAnsi="Titillium"/>
          <w:sz w:val="16"/>
          <w:szCs w:val="16"/>
        </w:rPr>
        <w:t>c/2017</w:t>
      </w:r>
    </w:p>
    <w:p w:rsidR="00970420" w:rsidRPr="00326A1D" w:rsidRDefault="00970420" w:rsidP="00970420">
      <w:pPr>
        <w:pStyle w:val="Prosttext"/>
        <w:rPr>
          <w:rFonts w:ascii="Titillium" w:hAnsi="Titillium"/>
          <w:sz w:val="16"/>
          <w:szCs w:val="16"/>
        </w:rPr>
      </w:pPr>
      <w:r>
        <w:rPr>
          <w:rFonts w:ascii="Titillium" w:hAnsi="Titillium"/>
          <w:sz w:val="16"/>
          <w:szCs w:val="16"/>
        </w:rPr>
        <w:tab/>
      </w:r>
      <w:r>
        <w:rPr>
          <w:rFonts w:ascii="Titillium" w:hAnsi="Titillium"/>
          <w:sz w:val="16"/>
          <w:szCs w:val="16"/>
        </w:rPr>
        <w:tab/>
      </w:r>
      <w:r>
        <w:rPr>
          <w:rFonts w:ascii="Titillium" w:hAnsi="Titillium"/>
          <w:sz w:val="16"/>
          <w:szCs w:val="16"/>
        </w:rPr>
        <w:tab/>
      </w:r>
      <w:r>
        <w:rPr>
          <w:rFonts w:ascii="Titillium" w:hAnsi="Titillium"/>
          <w:sz w:val="16"/>
          <w:szCs w:val="16"/>
        </w:rPr>
        <w:tab/>
      </w:r>
      <w:r>
        <w:rPr>
          <w:rFonts w:ascii="Titillium" w:hAnsi="Titillium"/>
          <w:sz w:val="16"/>
          <w:szCs w:val="16"/>
        </w:rPr>
        <w:tab/>
      </w:r>
      <w:r>
        <w:rPr>
          <w:rFonts w:ascii="Titillium" w:hAnsi="Titillium"/>
          <w:sz w:val="16"/>
          <w:szCs w:val="16"/>
        </w:rPr>
        <w:tab/>
      </w:r>
      <w:r>
        <w:rPr>
          <w:rFonts w:ascii="Titillium" w:hAnsi="Titillium"/>
          <w:sz w:val="16"/>
          <w:szCs w:val="16"/>
        </w:rPr>
        <w:tab/>
      </w:r>
      <w:r>
        <w:rPr>
          <w:rFonts w:ascii="Titillium" w:hAnsi="Titillium"/>
          <w:sz w:val="16"/>
          <w:szCs w:val="16"/>
        </w:rPr>
        <w:tab/>
        <w:t xml:space="preserve">               </w:t>
      </w:r>
      <w:r w:rsidRPr="00326A1D">
        <w:rPr>
          <w:rFonts w:ascii="Titillium" w:hAnsi="Titillium"/>
          <w:sz w:val="16"/>
          <w:szCs w:val="16"/>
        </w:rPr>
        <w:t xml:space="preserve">datum ověření:  </w:t>
      </w:r>
      <w:r w:rsidR="00A75DB8">
        <w:rPr>
          <w:rFonts w:ascii="Titillium" w:hAnsi="Titillium"/>
          <w:sz w:val="16"/>
          <w:szCs w:val="16"/>
        </w:rPr>
        <w:t>2</w:t>
      </w:r>
      <w:r w:rsidR="00966AED">
        <w:rPr>
          <w:rFonts w:ascii="Titillium" w:hAnsi="Titillium"/>
          <w:sz w:val="16"/>
          <w:szCs w:val="16"/>
        </w:rPr>
        <w:t>3</w:t>
      </w:r>
      <w:r w:rsidRPr="00326A1D">
        <w:rPr>
          <w:rFonts w:ascii="Titillium" w:hAnsi="Titillium"/>
          <w:sz w:val="16"/>
          <w:szCs w:val="16"/>
        </w:rPr>
        <w:t>.</w:t>
      </w:r>
      <w:r>
        <w:rPr>
          <w:rFonts w:ascii="Titillium" w:hAnsi="Titillium"/>
          <w:sz w:val="16"/>
          <w:szCs w:val="16"/>
        </w:rPr>
        <w:t xml:space="preserve"> </w:t>
      </w:r>
      <w:r w:rsidR="00DC38D6">
        <w:rPr>
          <w:rFonts w:ascii="Titillium" w:hAnsi="Titillium"/>
          <w:sz w:val="16"/>
          <w:szCs w:val="16"/>
        </w:rPr>
        <w:t>ří</w:t>
      </w:r>
      <w:r w:rsidR="00A75DB8">
        <w:rPr>
          <w:rFonts w:ascii="Titillium" w:hAnsi="Titillium"/>
          <w:sz w:val="16"/>
          <w:szCs w:val="16"/>
        </w:rPr>
        <w:t>jna</w:t>
      </w:r>
      <w:r w:rsidRPr="00326A1D">
        <w:rPr>
          <w:rFonts w:ascii="Titillium" w:hAnsi="Titillium"/>
          <w:sz w:val="16"/>
          <w:szCs w:val="16"/>
        </w:rPr>
        <w:t xml:space="preserve"> 201</w:t>
      </w:r>
      <w:r>
        <w:rPr>
          <w:rFonts w:ascii="Titillium" w:hAnsi="Titillium"/>
          <w:sz w:val="16"/>
          <w:szCs w:val="16"/>
        </w:rPr>
        <w:t>7</w:t>
      </w:r>
    </w:p>
    <w:p w:rsidR="00970420" w:rsidRPr="00326A1D" w:rsidRDefault="00970420" w:rsidP="00970420">
      <w:pPr>
        <w:pStyle w:val="Prosttext"/>
        <w:rPr>
          <w:rFonts w:ascii="Titillium" w:hAnsi="Titillium"/>
          <w:spacing w:val="-20"/>
          <w:sz w:val="16"/>
          <w:szCs w:val="16"/>
        </w:rPr>
      </w:pPr>
    </w:p>
    <w:p w:rsidR="00970420" w:rsidRPr="00326A1D" w:rsidRDefault="00970420" w:rsidP="00970420">
      <w:pPr>
        <w:pStyle w:val="Prosttext"/>
        <w:rPr>
          <w:rFonts w:ascii="Titillium" w:hAnsi="Titillium"/>
          <w:spacing w:val="-20"/>
          <w:sz w:val="16"/>
          <w:szCs w:val="16"/>
        </w:rPr>
      </w:pPr>
    </w:p>
    <w:p w:rsidR="00970420" w:rsidRPr="00326A1D" w:rsidRDefault="00970420" w:rsidP="00970420">
      <w:pPr>
        <w:pStyle w:val="Prosttext"/>
        <w:rPr>
          <w:rFonts w:ascii="Titillium" w:hAnsi="Titillium"/>
          <w:spacing w:val="-20"/>
          <w:sz w:val="16"/>
          <w:szCs w:val="16"/>
        </w:rPr>
      </w:pPr>
      <w:r w:rsidRPr="00326A1D">
        <w:rPr>
          <w:rFonts w:ascii="Titillium" w:hAnsi="Titillium"/>
          <w:sz w:val="16"/>
          <w:szCs w:val="16"/>
        </w:rPr>
        <w:tab/>
      </w:r>
      <w:r w:rsidRPr="00326A1D">
        <w:rPr>
          <w:rFonts w:ascii="Titillium" w:hAnsi="Titillium"/>
          <w:sz w:val="16"/>
          <w:szCs w:val="16"/>
        </w:rPr>
        <w:tab/>
      </w:r>
      <w:r w:rsidRPr="00326A1D">
        <w:rPr>
          <w:rFonts w:ascii="Titillium" w:hAnsi="Titillium"/>
          <w:sz w:val="16"/>
          <w:szCs w:val="16"/>
        </w:rPr>
        <w:tab/>
      </w:r>
      <w:r w:rsidRPr="00326A1D">
        <w:rPr>
          <w:rFonts w:ascii="Titillium" w:hAnsi="Titillium"/>
          <w:sz w:val="16"/>
          <w:szCs w:val="16"/>
        </w:rPr>
        <w:tab/>
      </w:r>
      <w:r w:rsidRPr="00326A1D">
        <w:rPr>
          <w:rFonts w:ascii="Titillium" w:hAnsi="Titillium"/>
          <w:sz w:val="16"/>
          <w:szCs w:val="16"/>
        </w:rPr>
        <w:tab/>
      </w:r>
      <w:r w:rsidRPr="00326A1D">
        <w:rPr>
          <w:rFonts w:ascii="Titillium" w:hAnsi="Titillium"/>
          <w:sz w:val="16"/>
          <w:szCs w:val="16"/>
        </w:rPr>
        <w:tab/>
      </w:r>
      <w:r w:rsidRPr="00326A1D">
        <w:rPr>
          <w:rFonts w:ascii="Titillium" w:hAnsi="Titillium"/>
          <w:sz w:val="16"/>
          <w:szCs w:val="16"/>
        </w:rPr>
        <w:tab/>
      </w:r>
      <w:r w:rsidRPr="00326A1D">
        <w:rPr>
          <w:rFonts w:ascii="Titillium" w:hAnsi="Titillium"/>
          <w:sz w:val="16"/>
          <w:szCs w:val="16"/>
        </w:rPr>
        <w:tab/>
      </w:r>
      <w:r>
        <w:rPr>
          <w:rFonts w:ascii="Titillium" w:hAnsi="Titillium"/>
          <w:sz w:val="16"/>
          <w:szCs w:val="16"/>
        </w:rPr>
        <w:t xml:space="preserve">    </w:t>
      </w:r>
      <w:r w:rsidRPr="00326A1D">
        <w:rPr>
          <w:rFonts w:ascii="Titillium" w:hAnsi="Titillium"/>
        </w:rPr>
        <w:t>Ověřil : ….………………</w:t>
      </w:r>
      <w:proofErr w:type="gramStart"/>
      <w:r w:rsidRPr="00326A1D">
        <w:rPr>
          <w:rFonts w:ascii="Titillium" w:hAnsi="Titillium"/>
        </w:rPr>
        <w:t>…..…</w:t>
      </w:r>
      <w:proofErr w:type="gramEnd"/>
      <w:r w:rsidRPr="00326A1D">
        <w:rPr>
          <w:rFonts w:ascii="Titillium" w:hAnsi="Titillium"/>
        </w:rPr>
        <w:t>..……</w:t>
      </w:r>
    </w:p>
    <w:p w:rsidR="00970420" w:rsidRPr="00326A1D" w:rsidRDefault="00970420" w:rsidP="00970420">
      <w:pPr>
        <w:pStyle w:val="Prosttext"/>
        <w:rPr>
          <w:rFonts w:ascii="Titillium" w:hAnsi="Titillium"/>
        </w:rPr>
      </w:pPr>
      <w:r w:rsidRPr="00326A1D">
        <w:rPr>
          <w:rFonts w:ascii="Titillium" w:hAnsi="Titillium"/>
          <w:sz w:val="16"/>
          <w:szCs w:val="16"/>
        </w:rPr>
        <w:tab/>
        <w:t xml:space="preserve"> </w:t>
      </w:r>
      <w:r w:rsidRPr="00326A1D">
        <w:rPr>
          <w:rFonts w:ascii="Titillium" w:hAnsi="Titillium"/>
          <w:sz w:val="16"/>
          <w:szCs w:val="16"/>
        </w:rPr>
        <w:tab/>
      </w:r>
      <w:r w:rsidRPr="00326A1D">
        <w:rPr>
          <w:rFonts w:ascii="Titillium" w:hAnsi="Titillium"/>
          <w:sz w:val="16"/>
          <w:szCs w:val="16"/>
        </w:rPr>
        <w:tab/>
      </w:r>
      <w:r w:rsidRPr="00326A1D">
        <w:rPr>
          <w:rFonts w:ascii="Titillium" w:hAnsi="Titillium"/>
          <w:sz w:val="16"/>
          <w:szCs w:val="16"/>
        </w:rPr>
        <w:tab/>
      </w:r>
      <w:r w:rsidRPr="00326A1D">
        <w:rPr>
          <w:rFonts w:ascii="Titillium" w:hAnsi="Titillium"/>
          <w:sz w:val="16"/>
          <w:szCs w:val="16"/>
        </w:rPr>
        <w:tab/>
      </w:r>
      <w:r w:rsidRPr="00326A1D">
        <w:rPr>
          <w:rFonts w:ascii="Titillium" w:hAnsi="Titillium"/>
          <w:sz w:val="16"/>
          <w:szCs w:val="16"/>
        </w:rPr>
        <w:tab/>
      </w:r>
      <w:r w:rsidRPr="00326A1D">
        <w:rPr>
          <w:rFonts w:ascii="Titillium" w:hAnsi="Titillium"/>
          <w:sz w:val="16"/>
          <w:szCs w:val="16"/>
        </w:rPr>
        <w:tab/>
      </w:r>
      <w:r w:rsidRPr="00326A1D">
        <w:rPr>
          <w:rFonts w:ascii="Titillium" w:hAnsi="Titillium"/>
          <w:sz w:val="16"/>
          <w:szCs w:val="16"/>
        </w:rPr>
        <w:tab/>
      </w:r>
      <w:r w:rsidRPr="00326A1D">
        <w:rPr>
          <w:rFonts w:ascii="Titillium" w:hAnsi="Titillium"/>
          <w:sz w:val="16"/>
          <w:szCs w:val="16"/>
        </w:rPr>
        <w:tab/>
        <w:t xml:space="preserve">       </w:t>
      </w:r>
      <w:r w:rsidRPr="00326A1D">
        <w:rPr>
          <w:rFonts w:ascii="Titillium" w:hAnsi="Titillium"/>
        </w:rPr>
        <w:t>Ing. Marek Hořejš</w:t>
      </w:r>
    </w:p>
    <w:p w:rsidR="000C1EED" w:rsidRPr="00326A1D" w:rsidRDefault="000C1EED" w:rsidP="00970420">
      <w:pPr>
        <w:pStyle w:val="Prosttext"/>
        <w:rPr>
          <w:rFonts w:ascii="Titillium" w:hAnsi="Titillium"/>
        </w:rPr>
      </w:pPr>
    </w:p>
    <w:sectPr w:rsidR="000C1EED" w:rsidRPr="00326A1D" w:rsidSect="008A640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74" w:right="1418" w:bottom="1418" w:left="1418" w:header="964" w:footer="11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5A2A" w:rsidRDefault="00B95A2A" w:rsidP="005827BD">
      <w:r>
        <w:separator/>
      </w:r>
    </w:p>
  </w:endnote>
  <w:endnote w:type="continuationSeparator" w:id="0">
    <w:p w:rsidR="00B95A2A" w:rsidRDefault="00B95A2A" w:rsidP="00582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tillium-Light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D02" w:rsidRPr="00CC0D02" w:rsidRDefault="009843C1" w:rsidP="00B41E46">
    <w:pPr>
      <w:pStyle w:val="Zpat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6EE80514" wp14:editId="5617C980">
              <wp:simplePos x="0" y="0"/>
              <wp:positionH relativeFrom="page">
                <wp:posOffset>1871980</wp:posOffset>
              </wp:positionH>
              <wp:positionV relativeFrom="page">
                <wp:posOffset>9919335</wp:posOffset>
              </wp:positionV>
              <wp:extent cx="4788000" cy="540000"/>
              <wp:effectExtent l="0" t="0" r="12700" b="12700"/>
              <wp:wrapNone/>
              <wp:docPr id="4" name="Textové po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88000" cy="54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843C1" w:rsidRPr="006842C2" w:rsidRDefault="009843C1" w:rsidP="009843C1">
                          <w:pPr>
                            <w:pStyle w:val="Podtitul"/>
                          </w:pPr>
                          <w:r w:rsidRPr="006842C2">
                            <w:rPr>
                              <w:b/>
                            </w:rPr>
                            <w:t>Brněnské komunikace a.s.</w:t>
                          </w:r>
                          <w:r>
                            <w:rPr>
                              <w:b/>
                            </w:rPr>
                            <w:t xml:space="preserve"> </w:t>
                          </w:r>
                          <w:r w:rsidRPr="006842C2">
                            <w:t>| Renneská třída 787/1a, 639 00 Brno-Štýřice</w:t>
                          </w:r>
                          <w:r>
                            <w:t xml:space="preserve"> </w:t>
                          </w:r>
                          <w:r w:rsidRPr="006842C2">
                            <w:t>| IČ: 607 33 098 | DIČ: CZ 607 33 098</w:t>
                          </w:r>
                          <w:r w:rsidRPr="006842C2">
                            <w:br/>
                          </w:r>
                          <w:r w:rsidRPr="006842C2">
                            <w:rPr>
                              <w:rFonts w:cs="Titillium-Light"/>
                            </w:rPr>
                            <w:t>Společnost byla zapsána dne 1. 1. 1995 v obchodním rejstříku u Krajského soudu v Brně, oddíl B, vložka 1479</w:t>
                          </w:r>
                          <w:r w:rsidRPr="006842C2">
                            <w:t>.</w:t>
                          </w:r>
                          <w:r w:rsidRPr="006842C2">
                            <w:br/>
                            <w:t>Telefon: +420 532 144 111  |  E-mail: bkom@bkom.</w:t>
                          </w:r>
                          <w:proofErr w:type="gramStart"/>
                          <w:r w:rsidRPr="006842C2">
                            <w:t>cz   |</w:t>
                          </w:r>
                          <w:r>
                            <w:t xml:space="preserve">   </w:t>
                          </w:r>
                          <w:r w:rsidRPr="006842C2">
                            <w:rPr>
                              <w:b/>
                              <w:color w:val="E2001A"/>
                            </w:rPr>
                            <w:t>www</w:t>
                          </w:r>
                          <w:proofErr w:type="gramEnd"/>
                          <w:r w:rsidRPr="006842C2">
                            <w:rPr>
                              <w:b/>
                              <w:color w:val="E2001A"/>
                            </w:rPr>
                            <w:t>.bkom.cz</w:t>
                          </w:r>
                        </w:p>
                        <w:p w:rsidR="009843C1" w:rsidRPr="003F4672" w:rsidRDefault="009843C1" w:rsidP="009843C1">
                          <w:pPr>
                            <w:pStyle w:val="Podtitul"/>
                          </w:pPr>
                        </w:p>
                        <w:p w:rsidR="009843C1" w:rsidRPr="006842C2" w:rsidRDefault="009843C1" w:rsidP="009843C1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E80514" id="_x0000_t202" coordsize="21600,21600" o:spt="202" path="m,l,21600r21600,l21600,xe">
              <v:stroke joinstyle="miter"/>
              <v:path gradientshapeok="t" o:connecttype="rect"/>
            </v:shapetype>
            <v:shape id="Textové pole 4" o:spid="_x0000_s1026" type="#_x0000_t202" style="position:absolute;margin-left:147.4pt;margin-top:781.05pt;width:377pt;height:42.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KM6iQIAAHAFAAAOAAAAZHJzL2Uyb0RvYy54bWysVN1O2zAUvp+0d7B8P5KywqqIFHUgpkkV&#10;oLUT165jkwjbx7PdJt0b7Tl4sR07SYvYbph245zY3/n/zrm47LQiO+F8A6akk5OcEmE4VI15LOn3&#10;9c2HGSU+MFMxBUaUdC88vZy/f3fR2kKcQg2qEo6gEeOL1pa0DsEWWeZ5LTTzJ2CFwUcJTrOAv+4x&#10;qxxr0bpW2Wmen2ctuMo64MJ7vL3uH+k82ZdS8HAnpReBqJJibCGdLp2beGbzC1Y8Ombrhg9hsH+I&#10;QrPGoNODqWsWGNm65g9TuuEOPMhwwkFnIGXDRcoBs5nkr7JZ1cyKlAsWx9tDmfz/M8tvd/eONFVJ&#10;p5QYprFFa9EF2D3/IhaUINNYotb6ApEri9jQfYYOW53S9XYJ/MkjJHuB6RU8omNJOul0/GKyBBWx&#10;C/tD5dEV4Xg5/TSb5Tk+cXw7m6KYWpMdta3z4YsATaJQUoedTRGw3dKH6J8VIyQ6M3DTKJW6qwxp&#10;S3r+8SxPCocX1FAmYkXiyWAmptFHnqSwVyJilPkmJNYpJRAvEkPFlXJkx5BbjHNhwiQWK9lFdERJ&#10;DOItigP+GNVblPs8Rs9gwkFZNwZc37A4WMewq6cxZNnjh0b6Pu9YgtBtOswqihuo9sgAB/0Yectv&#10;GuzGkvlwzxzODTYQd0G4w0MqwKrDIFFSg/v5t/uIRzrjKyUtzmFJ/Y8tc4IS9dUg0ePQjoIbhc0o&#10;mK2+Aiz/BLeM5UlEBRfUKEoH+gFXxCJ6wSdmOPoqaRjFq9BvA1wxXCwWCYSjaVlYmpXlI9Ejt9bd&#10;A3N2IGBA6t7COKGseMXDHhv7aGCxDSCbRNJjFYdC41gnxgwrKO6Nl/8JdVyU898AAAD//wMAUEsD&#10;BBQABgAIAAAAIQD9i6Tu4gAAAA4BAAAPAAAAZHJzL2Rvd25yZXYueG1sTI9BT4NAEIXvJv6HzZh4&#10;swsEsEWWxpgYT8bYqulxCyPQsrPIbgH/vdOTvc3Me3nzvXw9m06MOLjWkoJwEYBAKm3VUq3gY/t8&#10;twThvKZKd5ZQwS86WBfXV7nOKjvRO44bXwsOIZdpBY33fSalKxs02i1sj8Tatx2M9rwOtawGPXG4&#10;6WQUBKk0uiX+0Ogenxosj5uTUbC1L4fD9BWMP28Jfe4weT3W3it1ezM/PoDwOPt/M5zxGR0KZtrb&#10;E1VOdAqiVczonoUkjUIQZ0sQL/m25ymN70OQRS4vaxR/AAAA//8DAFBLAQItABQABgAIAAAAIQC2&#10;gziS/gAAAOEBAAATAAAAAAAAAAAAAAAAAAAAAABbQ29udGVudF9UeXBlc10ueG1sUEsBAi0AFAAG&#10;AAgAAAAhADj9If/WAAAAlAEAAAsAAAAAAAAAAAAAAAAALwEAAF9yZWxzLy5yZWxzUEsBAi0AFAAG&#10;AAgAAAAhAHi0ozqJAgAAcAUAAA4AAAAAAAAAAAAAAAAALgIAAGRycy9lMm9Eb2MueG1sUEsBAi0A&#10;FAAGAAgAAAAhAP2LpO7iAAAADgEAAA8AAAAAAAAAAAAAAAAA4wQAAGRycy9kb3ducmV2LnhtbFBL&#10;BQYAAAAABAAEAPMAAADyBQAAAAA=&#10;" filled="f" stroked="f" strokeweight=".5pt">
              <v:path arrowok="t"/>
              <v:textbox inset="0,0,0,0">
                <w:txbxContent>
                  <w:p w:rsidR="009843C1" w:rsidRPr="006842C2" w:rsidRDefault="009843C1" w:rsidP="009843C1">
                    <w:pPr>
                      <w:pStyle w:val="Podtitul"/>
                    </w:pPr>
                    <w:r w:rsidRPr="006842C2">
                      <w:rPr>
                        <w:b/>
                      </w:rPr>
                      <w:t>Brněnské komunikace a.s.</w:t>
                    </w:r>
                    <w:r>
                      <w:rPr>
                        <w:b/>
                      </w:rPr>
                      <w:t xml:space="preserve"> </w:t>
                    </w:r>
                    <w:r w:rsidRPr="006842C2">
                      <w:t>| Renneská třída 787/1a, 639 00 Brno-Štýřice</w:t>
                    </w:r>
                    <w:r>
                      <w:t xml:space="preserve"> </w:t>
                    </w:r>
                    <w:r w:rsidRPr="006842C2">
                      <w:t>| IČ: 607 33 098 | DIČ: CZ 607 33 098</w:t>
                    </w:r>
                    <w:r w:rsidRPr="006842C2">
                      <w:br/>
                    </w:r>
                    <w:r w:rsidRPr="006842C2">
                      <w:rPr>
                        <w:rFonts w:cs="Titillium-Light"/>
                      </w:rPr>
                      <w:t>Společnost byla zapsána dne 1. 1. 1995 v obchodním rejstříku u Krajského soudu v Brně, oddíl B, vložka 1479</w:t>
                    </w:r>
                    <w:r w:rsidRPr="006842C2">
                      <w:t>.</w:t>
                    </w:r>
                    <w:r w:rsidRPr="006842C2">
                      <w:br/>
                      <w:t>Telefon: +420 532 144 111  |  E-mail: bkom@bkom.</w:t>
                    </w:r>
                    <w:proofErr w:type="gramStart"/>
                    <w:r w:rsidRPr="006842C2">
                      <w:t>cz   |</w:t>
                    </w:r>
                    <w:r>
                      <w:t xml:space="preserve">   </w:t>
                    </w:r>
                    <w:r w:rsidRPr="006842C2">
                      <w:rPr>
                        <w:b/>
                        <w:color w:val="E2001A"/>
                      </w:rPr>
                      <w:t>www</w:t>
                    </w:r>
                    <w:proofErr w:type="gramEnd"/>
                    <w:r w:rsidRPr="006842C2">
                      <w:rPr>
                        <w:b/>
                        <w:color w:val="E2001A"/>
                      </w:rPr>
                      <w:t>.bkom.cz</w:t>
                    </w:r>
                  </w:p>
                  <w:p w:rsidR="009843C1" w:rsidRPr="003F4672" w:rsidRDefault="009843C1" w:rsidP="009843C1">
                    <w:pPr>
                      <w:pStyle w:val="Podtitul"/>
                    </w:pPr>
                  </w:p>
                  <w:p w:rsidR="009843C1" w:rsidRPr="006842C2" w:rsidRDefault="009843C1" w:rsidP="009843C1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3360" behindDoc="1" locked="0" layoutInCell="1" allowOverlap="1" wp14:anchorId="699A0971" wp14:editId="55691B00">
          <wp:simplePos x="0" y="0"/>
          <wp:positionH relativeFrom="page">
            <wp:posOffset>180340</wp:posOffset>
          </wp:positionH>
          <wp:positionV relativeFrom="page">
            <wp:posOffset>8281035</wp:posOffset>
          </wp:positionV>
          <wp:extent cx="2937600" cy="2203200"/>
          <wp:effectExtent l="0" t="0" r="0" b="6985"/>
          <wp:wrapNone/>
          <wp:docPr id="2" name="Obrázek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K ctverce RGB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37600" cy="220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FAB" w:rsidRDefault="009843C1">
    <w:pPr>
      <w:pStyle w:val="Zpat"/>
    </w:pPr>
    <w:r>
      <w:rPr>
        <w:noProof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782B7489" wp14:editId="36229B6A">
              <wp:simplePos x="0" y="0"/>
              <wp:positionH relativeFrom="page">
                <wp:posOffset>1871980</wp:posOffset>
              </wp:positionH>
              <wp:positionV relativeFrom="page">
                <wp:posOffset>9919335</wp:posOffset>
              </wp:positionV>
              <wp:extent cx="4788000" cy="540000"/>
              <wp:effectExtent l="0" t="0" r="12700" b="12700"/>
              <wp:wrapNone/>
              <wp:docPr id="5" name="Textové po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88000" cy="54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843C1" w:rsidRPr="006842C2" w:rsidRDefault="009843C1" w:rsidP="009843C1">
                          <w:pPr>
                            <w:pStyle w:val="Podtitul"/>
                          </w:pPr>
                          <w:r w:rsidRPr="006842C2">
                            <w:rPr>
                              <w:b/>
                            </w:rPr>
                            <w:t>Brněnské komunikace a.s.</w:t>
                          </w:r>
                          <w:r>
                            <w:rPr>
                              <w:b/>
                            </w:rPr>
                            <w:t xml:space="preserve"> </w:t>
                          </w:r>
                          <w:r w:rsidRPr="006842C2">
                            <w:t>| Renneská třída 787/1a, 639 00 Brno-Štýřice</w:t>
                          </w:r>
                          <w:r>
                            <w:t xml:space="preserve"> </w:t>
                          </w:r>
                          <w:r w:rsidRPr="006842C2">
                            <w:t>| IČ: 607 33 098 | DIČ: CZ 607 33 098</w:t>
                          </w:r>
                          <w:r w:rsidRPr="006842C2">
                            <w:br/>
                          </w:r>
                          <w:r w:rsidRPr="006842C2">
                            <w:rPr>
                              <w:rFonts w:cs="Titillium-Light"/>
                            </w:rPr>
                            <w:t>Společnost byla zapsána dne 1. 1. 1995 v obchodním rejstříku u Krajského soudu v Brně, oddíl B, vložka 1479</w:t>
                          </w:r>
                          <w:r w:rsidRPr="006842C2">
                            <w:t>.</w:t>
                          </w:r>
                          <w:r w:rsidRPr="006842C2">
                            <w:br/>
                            <w:t>Telefon: +420 532 144 111  |  E-mail: bkom@bkom.</w:t>
                          </w:r>
                          <w:proofErr w:type="gramStart"/>
                          <w:r w:rsidRPr="006842C2">
                            <w:t>cz   |</w:t>
                          </w:r>
                          <w:r>
                            <w:t xml:space="preserve">   </w:t>
                          </w:r>
                          <w:r w:rsidRPr="006842C2">
                            <w:rPr>
                              <w:b/>
                              <w:color w:val="E2001A"/>
                            </w:rPr>
                            <w:t>www</w:t>
                          </w:r>
                          <w:proofErr w:type="gramEnd"/>
                          <w:r w:rsidRPr="006842C2">
                            <w:rPr>
                              <w:b/>
                              <w:color w:val="E2001A"/>
                            </w:rPr>
                            <w:t>.bkom.cz</w:t>
                          </w:r>
                        </w:p>
                        <w:p w:rsidR="009843C1" w:rsidRPr="003F4672" w:rsidRDefault="009843C1" w:rsidP="009843C1">
                          <w:pPr>
                            <w:pStyle w:val="Podtitul"/>
                          </w:pPr>
                        </w:p>
                        <w:p w:rsidR="009843C1" w:rsidRPr="006842C2" w:rsidRDefault="009843C1" w:rsidP="009843C1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82B7489" id="_x0000_t202" coordsize="21600,21600" o:spt="202" path="m,l,21600r21600,l21600,xe">
              <v:stroke joinstyle="miter"/>
              <v:path gradientshapeok="t" o:connecttype="rect"/>
            </v:shapetype>
            <v:shape id="Textové pole 5" o:spid="_x0000_s1027" type="#_x0000_t202" style="position:absolute;margin-left:147.4pt;margin-top:781.05pt;width:377pt;height:42.5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jHOiwIAAHcFAAAOAAAAZHJzL2Uyb0RvYy54bWysVN1O2zAUvp+0d7B8P5IyyqqIFHUgpkkV&#10;oLUT165jkwjbx7PdJt0b7Tl4sR07SYvYbph245zY3/n/zrm47LQiO+F8A6akk5OcEmE4VI15LOn3&#10;9c2HGSU+MFMxBUaUdC88vZy/f3fR2kKcQg2qEo6gEeOL1pa0DsEWWeZ5LTTzJ2CFwUcJTrOAv+4x&#10;qxxr0bpW2Wmen2ctuMo64MJ7vL3uH+k82ZdS8HAnpReBqJJibCGdLp2beGbzC1Y8Ombrhg9hsH+I&#10;QrPGoNODqWsWGNm65g9TuuEOPMhwwkFnIGXDRcoBs5nkr7JZ1cyKlAsWx9tDmfz/M8tvd/eONFVJ&#10;p5QYprFFa9EF2D3/IhaUINNYotb6ApEri9jQfYYOW53S9XYJ/MkjJHuB6RU8omNJOul0/GKyBBWx&#10;C/tD5dEV4Xh59mk2y3N84vg2PUMxtSY7alvnwxcBmkShpA47myJgu6UP0T8rRkh0ZuCmUSp1VxnS&#10;lvT84zRPCocX1FAmYkXiyWAmptFHnqSwVyJilPkmJNYpJRAvEkPFlXJkx5BbjHNhwiQWK9lFdERJ&#10;DOItigP+GNVblPs8Rs9gwkFZNwZc37A4WMewq6cxZNnjh0b6Pu9YgtBtukSQhIw3G6j2SAQH/TR5&#10;y28abMqS+XDPHI4P9hFXQrjDQyrA4sMgUVKD+/m3+4hHVuMrJS2OY0n9jy1zghL11SDf4+yOghuF&#10;zSiYrb4C7MIEl43lSUQFF9QoSgf6ATfFInrBJ2Y4+ippGMWr0C8F3DRcLBYJhBNqWVialeUj3yPF&#10;1t0Dc3bgYUAG38I4qKx4RcceG9tpYLENIJvE1WMVh3rjdCfiDJsoro+X/wl13Jfz3wAAAP//AwBQ&#10;SwMEFAAGAAgAAAAhAP2LpO7iAAAADgEAAA8AAABkcnMvZG93bnJldi54bWxMj0FPg0AQhe8m/ofN&#10;mHizCwSwRZbGmBhPxtiq6XELI9Cys8huAf+905O9zcx7efO9fD2bTow4uNaSgnARgEAqbdVSreBj&#10;+3y3BOG8pkp3llDBLzpYF9dXuc4qO9E7jhtfCw4hl2kFjfd9JqUrGzTaLWyPxNq3HYz2vA61rAY9&#10;cbjpZBQEqTS6Jf7Q6B6fGiyPm5NRsLUvh8P0FYw/bwl97jB5PdbeK3V7Mz8+gPA4+38znPEZHQpm&#10;2tsTVU50CqJVzOiehSSNQhBnSxAv+bbnKY3vQ5BFLi9rFH8AAAD//wMAUEsBAi0AFAAGAAgAAAAh&#10;ALaDOJL+AAAA4QEAABMAAAAAAAAAAAAAAAAAAAAAAFtDb250ZW50X1R5cGVzXS54bWxQSwECLQAU&#10;AAYACAAAACEAOP0h/9YAAACUAQAACwAAAAAAAAAAAAAAAAAvAQAAX3JlbHMvLnJlbHNQSwECLQAU&#10;AAYACAAAACEA0PIxzosCAAB3BQAADgAAAAAAAAAAAAAAAAAuAgAAZHJzL2Uyb0RvYy54bWxQSwEC&#10;LQAUAAYACAAAACEA/Yuk7uIAAAAOAQAADwAAAAAAAAAAAAAAAADlBAAAZHJzL2Rvd25yZXYueG1s&#10;UEsFBgAAAAAEAAQA8wAAAPQFAAAAAA==&#10;" filled="f" stroked="f" strokeweight=".5pt">
              <v:path arrowok="t"/>
              <v:textbox inset="0,0,0,0">
                <w:txbxContent>
                  <w:p w:rsidR="009843C1" w:rsidRPr="006842C2" w:rsidRDefault="009843C1" w:rsidP="009843C1">
                    <w:pPr>
                      <w:pStyle w:val="Podtitul"/>
                    </w:pPr>
                    <w:r w:rsidRPr="006842C2">
                      <w:rPr>
                        <w:b/>
                      </w:rPr>
                      <w:t>Brněnské komunikace a.s.</w:t>
                    </w:r>
                    <w:r>
                      <w:rPr>
                        <w:b/>
                      </w:rPr>
                      <w:t xml:space="preserve"> </w:t>
                    </w:r>
                    <w:r w:rsidRPr="006842C2">
                      <w:t>| Renneská třída 787/1a, 639 00 Brno-Štýřice</w:t>
                    </w:r>
                    <w:r>
                      <w:t xml:space="preserve"> </w:t>
                    </w:r>
                    <w:r w:rsidRPr="006842C2">
                      <w:t>| IČ: 607 33 098 | DIČ: CZ 607 33 098</w:t>
                    </w:r>
                    <w:r w:rsidRPr="006842C2">
                      <w:br/>
                    </w:r>
                    <w:r w:rsidRPr="006842C2">
                      <w:rPr>
                        <w:rFonts w:cs="Titillium-Light"/>
                      </w:rPr>
                      <w:t>Společnost byla zapsána dne 1. 1. 1995 v obchodním rejstříku u Krajského soudu v Brně, oddíl B, vložka 1479</w:t>
                    </w:r>
                    <w:r w:rsidRPr="006842C2">
                      <w:t>.</w:t>
                    </w:r>
                    <w:r w:rsidRPr="006842C2">
                      <w:br/>
                      <w:t>Telefon: +420 532 144 111  |  E-mail: bkom@bkom.</w:t>
                    </w:r>
                    <w:proofErr w:type="gramStart"/>
                    <w:r w:rsidRPr="006842C2">
                      <w:t>cz   |</w:t>
                    </w:r>
                    <w:r>
                      <w:t xml:space="preserve">   </w:t>
                    </w:r>
                    <w:r w:rsidRPr="006842C2">
                      <w:rPr>
                        <w:b/>
                        <w:color w:val="E2001A"/>
                      </w:rPr>
                      <w:t>www</w:t>
                    </w:r>
                    <w:proofErr w:type="gramEnd"/>
                    <w:r w:rsidRPr="006842C2">
                      <w:rPr>
                        <w:b/>
                        <w:color w:val="E2001A"/>
                      </w:rPr>
                      <w:t>.bkom.cz</w:t>
                    </w:r>
                  </w:p>
                  <w:p w:rsidR="009843C1" w:rsidRPr="003F4672" w:rsidRDefault="009843C1" w:rsidP="009843C1">
                    <w:pPr>
                      <w:pStyle w:val="Podtitul"/>
                    </w:pPr>
                  </w:p>
                  <w:p w:rsidR="009843C1" w:rsidRPr="006842C2" w:rsidRDefault="009843C1" w:rsidP="009843C1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7216" behindDoc="1" locked="0" layoutInCell="1" allowOverlap="1" wp14:anchorId="68B0FDDC" wp14:editId="6907BE48">
          <wp:simplePos x="0" y="0"/>
          <wp:positionH relativeFrom="page">
            <wp:posOffset>180340</wp:posOffset>
          </wp:positionH>
          <wp:positionV relativeFrom="page">
            <wp:posOffset>8281035</wp:posOffset>
          </wp:positionV>
          <wp:extent cx="2937600" cy="2203200"/>
          <wp:effectExtent l="0" t="0" r="0" b="6985"/>
          <wp:wrapNone/>
          <wp:docPr id="6" name="Obrázek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K ctverce RGB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37600" cy="220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5A2A" w:rsidRDefault="00B95A2A" w:rsidP="005827BD">
      <w:r>
        <w:separator/>
      </w:r>
    </w:p>
  </w:footnote>
  <w:footnote w:type="continuationSeparator" w:id="0">
    <w:p w:rsidR="00B95A2A" w:rsidRDefault="00B95A2A" w:rsidP="005827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2249" w:rsidRDefault="00E52249">
    <w:pPr>
      <w:pStyle w:val="Zhlav"/>
    </w:pPr>
  </w:p>
  <w:p w:rsidR="005827BD" w:rsidRDefault="00F22D8F">
    <w:pPr>
      <w:pStyle w:val="Zhlav"/>
    </w:pPr>
    <w:r>
      <w:rPr>
        <w:noProof/>
      </w:rPr>
      <w:drawing>
        <wp:anchor distT="0" distB="0" distL="114300" distR="114300" simplePos="0" relativeHeight="251644928" behindDoc="0" locked="0" layoutInCell="1" allowOverlap="1" wp14:anchorId="7A58FEC0" wp14:editId="4331F746">
          <wp:simplePos x="0" y="0"/>
          <wp:positionH relativeFrom="page">
            <wp:posOffset>900430</wp:posOffset>
          </wp:positionH>
          <wp:positionV relativeFrom="page">
            <wp:posOffset>612140</wp:posOffset>
          </wp:positionV>
          <wp:extent cx="1908000" cy="352800"/>
          <wp:effectExtent l="0" t="0" r="0" b="952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K logo RGB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8000" cy="35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FAB" w:rsidRPr="0079240A" w:rsidRDefault="00B94FAB" w:rsidP="00B94FAB">
    <w:pPr>
      <w:tabs>
        <w:tab w:val="right" w:pos="8222"/>
      </w:tabs>
      <w:jc w:val="right"/>
    </w:pPr>
  </w:p>
  <w:p w:rsidR="00B94FAB" w:rsidRPr="00190900" w:rsidRDefault="00B94FAB" w:rsidP="00190900">
    <w:pPr>
      <w:pStyle w:val="Prosttext"/>
      <w:rPr>
        <w:rFonts w:ascii="Times New Roman" w:hAnsi="Times New Roman" w:cs="Times New Roman"/>
        <w:b/>
      </w:rPr>
    </w:pPr>
    <w:r>
      <w:rPr>
        <w:noProof/>
      </w:rPr>
      <w:drawing>
        <wp:anchor distT="0" distB="0" distL="114300" distR="114300" simplePos="0" relativeHeight="251651072" behindDoc="0" locked="0" layoutInCell="1" allowOverlap="1" wp14:anchorId="3C3DBEDE" wp14:editId="27D02BC2">
          <wp:simplePos x="0" y="0"/>
          <wp:positionH relativeFrom="page">
            <wp:posOffset>900430</wp:posOffset>
          </wp:positionH>
          <wp:positionV relativeFrom="page">
            <wp:posOffset>612140</wp:posOffset>
          </wp:positionV>
          <wp:extent cx="1908000" cy="352800"/>
          <wp:effectExtent l="0" t="0" r="0" b="9525"/>
          <wp:wrapNone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K logo RGB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8000" cy="35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F56445"/>
    <w:multiLevelType w:val="multilevel"/>
    <w:tmpl w:val="924272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Nadpis2"/>
      <w:lvlText w:val="%1.%2."/>
      <w:lvlJc w:val="left"/>
      <w:pPr>
        <w:ind w:left="792" w:hanging="432"/>
      </w:pPr>
    </w:lvl>
    <w:lvl w:ilvl="2">
      <w:start w:val="1"/>
      <w:numFmt w:val="decimal"/>
      <w:pStyle w:val="Nadpis3"/>
      <w:lvlText w:val="%1.%2.%3."/>
      <w:lvlJc w:val="left"/>
      <w:pPr>
        <w:ind w:left="1224" w:hanging="504"/>
      </w:pPr>
    </w:lvl>
    <w:lvl w:ilvl="3">
      <w:start w:val="1"/>
      <w:numFmt w:val="decimal"/>
      <w:pStyle w:val="Nadpis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CF91242"/>
    <w:multiLevelType w:val="hybridMultilevel"/>
    <w:tmpl w:val="471E975C"/>
    <w:lvl w:ilvl="0" w:tplc="6C1019C0">
      <w:start w:val="5"/>
      <w:numFmt w:val="bullet"/>
      <w:lvlText w:val="-"/>
      <w:lvlJc w:val="left"/>
      <w:pPr>
        <w:ind w:left="2847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" w15:restartNumberingAfterBreak="0">
    <w:nsid w:val="65467396"/>
    <w:multiLevelType w:val="hybridMultilevel"/>
    <w:tmpl w:val="55B0BB52"/>
    <w:lvl w:ilvl="0" w:tplc="A9D8602E">
      <w:start w:val="1"/>
      <w:numFmt w:val="lowerLetter"/>
      <w:pStyle w:val="Nadpis7"/>
      <w:lvlText w:val="%1)"/>
      <w:lvlJc w:val="left"/>
      <w:pPr>
        <w:ind w:left="1400" w:hanging="360"/>
      </w:pPr>
    </w:lvl>
    <w:lvl w:ilvl="1" w:tplc="04050019" w:tentative="1">
      <w:start w:val="1"/>
      <w:numFmt w:val="lowerLetter"/>
      <w:lvlText w:val="%2."/>
      <w:lvlJc w:val="left"/>
      <w:pPr>
        <w:ind w:left="2120" w:hanging="360"/>
      </w:pPr>
    </w:lvl>
    <w:lvl w:ilvl="2" w:tplc="0405001B" w:tentative="1">
      <w:start w:val="1"/>
      <w:numFmt w:val="lowerRoman"/>
      <w:lvlText w:val="%3."/>
      <w:lvlJc w:val="right"/>
      <w:pPr>
        <w:ind w:left="2840" w:hanging="180"/>
      </w:pPr>
    </w:lvl>
    <w:lvl w:ilvl="3" w:tplc="0405000F" w:tentative="1">
      <w:start w:val="1"/>
      <w:numFmt w:val="decimal"/>
      <w:lvlText w:val="%4."/>
      <w:lvlJc w:val="left"/>
      <w:pPr>
        <w:ind w:left="3560" w:hanging="360"/>
      </w:pPr>
    </w:lvl>
    <w:lvl w:ilvl="4" w:tplc="04050019" w:tentative="1">
      <w:start w:val="1"/>
      <w:numFmt w:val="lowerLetter"/>
      <w:lvlText w:val="%5."/>
      <w:lvlJc w:val="left"/>
      <w:pPr>
        <w:ind w:left="4280" w:hanging="360"/>
      </w:pPr>
    </w:lvl>
    <w:lvl w:ilvl="5" w:tplc="0405001B" w:tentative="1">
      <w:start w:val="1"/>
      <w:numFmt w:val="lowerRoman"/>
      <w:lvlText w:val="%6."/>
      <w:lvlJc w:val="right"/>
      <w:pPr>
        <w:ind w:left="5000" w:hanging="180"/>
      </w:pPr>
    </w:lvl>
    <w:lvl w:ilvl="6" w:tplc="0405000F" w:tentative="1">
      <w:start w:val="1"/>
      <w:numFmt w:val="decimal"/>
      <w:lvlText w:val="%7."/>
      <w:lvlJc w:val="left"/>
      <w:pPr>
        <w:ind w:left="5720" w:hanging="360"/>
      </w:pPr>
    </w:lvl>
    <w:lvl w:ilvl="7" w:tplc="04050019" w:tentative="1">
      <w:start w:val="1"/>
      <w:numFmt w:val="lowerLetter"/>
      <w:lvlText w:val="%8."/>
      <w:lvlJc w:val="left"/>
      <w:pPr>
        <w:ind w:left="6440" w:hanging="360"/>
      </w:pPr>
    </w:lvl>
    <w:lvl w:ilvl="8" w:tplc="0405001B" w:tentative="1">
      <w:start w:val="1"/>
      <w:numFmt w:val="lowerRoman"/>
      <w:lvlText w:val="%9."/>
      <w:lvlJc w:val="right"/>
      <w:pPr>
        <w:ind w:left="716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68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900"/>
    <w:rsid w:val="00000266"/>
    <w:rsid w:val="000010DC"/>
    <w:rsid w:val="000120BF"/>
    <w:rsid w:val="00015A74"/>
    <w:rsid w:val="000306A4"/>
    <w:rsid w:val="00041878"/>
    <w:rsid w:val="00056470"/>
    <w:rsid w:val="00057AF7"/>
    <w:rsid w:val="00065D28"/>
    <w:rsid w:val="000718B9"/>
    <w:rsid w:val="00080348"/>
    <w:rsid w:val="00084389"/>
    <w:rsid w:val="000871E0"/>
    <w:rsid w:val="000A50F9"/>
    <w:rsid w:val="000C1EED"/>
    <w:rsid w:val="000D5B7E"/>
    <w:rsid w:val="000E1237"/>
    <w:rsid w:val="000E566C"/>
    <w:rsid w:val="000F48B4"/>
    <w:rsid w:val="000F544F"/>
    <w:rsid w:val="000F575D"/>
    <w:rsid w:val="00104BC9"/>
    <w:rsid w:val="00105DD6"/>
    <w:rsid w:val="001151CD"/>
    <w:rsid w:val="001161E6"/>
    <w:rsid w:val="00156909"/>
    <w:rsid w:val="00157C13"/>
    <w:rsid w:val="00171F2D"/>
    <w:rsid w:val="001723B2"/>
    <w:rsid w:val="00180271"/>
    <w:rsid w:val="0018685F"/>
    <w:rsid w:val="00187B10"/>
    <w:rsid w:val="001904F6"/>
    <w:rsid w:val="00190900"/>
    <w:rsid w:val="001B355E"/>
    <w:rsid w:val="001C237E"/>
    <w:rsid w:val="001E5535"/>
    <w:rsid w:val="001F4AE7"/>
    <w:rsid w:val="00200326"/>
    <w:rsid w:val="00202617"/>
    <w:rsid w:val="00202E49"/>
    <w:rsid w:val="00207C79"/>
    <w:rsid w:val="00212F1D"/>
    <w:rsid w:val="00214ACE"/>
    <w:rsid w:val="002154AF"/>
    <w:rsid w:val="00243F1D"/>
    <w:rsid w:val="002467BA"/>
    <w:rsid w:val="00253195"/>
    <w:rsid w:val="002634CA"/>
    <w:rsid w:val="00273059"/>
    <w:rsid w:val="0029755D"/>
    <w:rsid w:val="002A135D"/>
    <w:rsid w:val="002B604A"/>
    <w:rsid w:val="002B7EED"/>
    <w:rsid w:val="002D3DA9"/>
    <w:rsid w:val="002F4635"/>
    <w:rsid w:val="002F485A"/>
    <w:rsid w:val="00302D39"/>
    <w:rsid w:val="0030725E"/>
    <w:rsid w:val="003136A7"/>
    <w:rsid w:val="00326A1D"/>
    <w:rsid w:val="00344B06"/>
    <w:rsid w:val="00350233"/>
    <w:rsid w:val="0036131F"/>
    <w:rsid w:val="00362503"/>
    <w:rsid w:val="003712DF"/>
    <w:rsid w:val="00372F4E"/>
    <w:rsid w:val="00373766"/>
    <w:rsid w:val="00385B49"/>
    <w:rsid w:val="003971BA"/>
    <w:rsid w:val="003A33B9"/>
    <w:rsid w:val="003A3A0B"/>
    <w:rsid w:val="003A623B"/>
    <w:rsid w:val="003B2066"/>
    <w:rsid w:val="003B2A26"/>
    <w:rsid w:val="003B5384"/>
    <w:rsid w:val="003B6223"/>
    <w:rsid w:val="003D51AC"/>
    <w:rsid w:val="003E0DA2"/>
    <w:rsid w:val="003E1038"/>
    <w:rsid w:val="003E566B"/>
    <w:rsid w:val="003F0D45"/>
    <w:rsid w:val="003F144F"/>
    <w:rsid w:val="003F3BA9"/>
    <w:rsid w:val="003F3F62"/>
    <w:rsid w:val="003F4672"/>
    <w:rsid w:val="003F5151"/>
    <w:rsid w:val="00402736"/>
    <w:rsid w:val="00406BE4"/>
    <w:rsid w:val="0040759E"/>
    <w:rsid w:val="00415522"/>
    <w:rsid w:val="004170E2"/>
    <w:rsid w:val="00422E06"/>
    <w:rsid w:val="00425B63"/>
    <w:rsid w:val="0042750E"/>
    <w:rsid w:val="00430FCA"/>
    <w:rsid w:val="00434377"/>
    <w:rsid w:val="00450759"/>
    <w:rsid w:val="004669D2"/>
    <w:rsid w:val="00466EB6"/>
    <w:rsid w:val="004726B7"/>
    <w:rsid w:val="00487F1B"/>
    <w:rsid w:val="00491676"/>
    <w:rsid w:val="004B4F14"/>
    <w:rsid w:val="004C74E1"/>
    <w:rsid w:val="004D558F"/>
    <w:rsid w:val="004E341B"/>
    <w:rsid w:val="004E425C"/>
    <w:rsid w:val="00516213"/>
    <w:rsid w:val="00516267"/>
    <w:rsid w:val="0052514C"/>
    <w:rsid w:val="0054140D"/>
    <w:rsid w:val="005453B6"/>
    <w:rsid w:val="00545C18"/>
    <w:rsid w:val="00552AB4"/>
    <w:rsid w:val="00555750"/>
    <w:rsid w:val="00566322"/>
    <w:rsid w:val="005827BD"/>
    <w:rsid w:val="005877AD"/>
    <w:rsid w:val="0059007C"/>
    <w:rsid w:val="005910C0"/>
    <w:rsid w:val="00593F95"/>
    <w:rsid w:val="00594533"/>
    <w:rsid w:val="00594C4D"/>
    <w:rsid w:val="00596050"/>
    <w:rsid w:val="005A121B"/>
    <w:rsid w:val="005B6392"/>
    <w:rsid w:val="005C5388"/>
    <w:rsid w:val="005C5FAE"/>
    <w:rsid w:val="005D0472"/>
    <w:rsid w:val="005E271C"/>
    <w:rsid w:val="005E3B56"/>
    <w:rsid w:val="005E5555"/>
    <w:rsid w:val="005F1A66"/>
    <w:rsid w:val="005F325A"/>
    <w:rsid w:val="00610A80"/>
    <w:rsid w:val="00611E67"/>
    <w:rsid w:val="006167C4"/>
    <w:rsid w:val="006307A8"/>
    <w:rsid w:val="00632DC5"/>
    <w:rsid w:val="00635B64"/>
    <w:rsid w:val="0063625B"/>
    <w:rsid w:val="006363B9"/>
    <w:rsid w:val="00636681"/>
    <w:rsid w:val="00647535"/>
    <w:rsid w:val="00651747"/>
    <w:rsid w:val="00662960"/>
    <w:rsid w:val="00663149"/>
    <w:rsid w:val="0067198C"/>
    <w:rsid w:val="006779F1"/>
    <w:rsid w:val="006828FB"/>
    <w:rsid w:val="00682B8A"/>
    <w:rsid w:val="00682EEA"/>
    <w:rsid w:val="006876D5"/>
    <w:rsid w:val="006877D0"/>
    <w:rsid w:val="00687FE6"/>
    <w:rsid w:val="00696E84"/>
    <w:rsid w:val="006B53CF"/>
    <w:rsid w:val="006C35E6"/>
    <w:rsid w:val="006D5C1E"/>
    <w:rsid w:val="006D64C3"/>
    <w:rsid w:val="006D6A48"/>
    <w:rsid w:val="006E00CF"/>
    <w:rsid w:val="006E0C6A"/>
    <w:rsid w:val="00703E26"/>
    <w:rsid w:val="00710286"/>
    <w:rsid w:val="007105D8"/>
    <w:rsid w:val="007152EF"/>
    <w:rsid w:val="007223CF"/>
    <w:rsid w:val="007325B6"/>
    <w:rsid w:val="00732B7E"/>
    <w:rsid w:val="00736362"/>
    <w:rsid w:val="00736C3A"/>
    <w:rsid w:val="00741596"/>
    <w:rsid w:val="007463D7"/>
    <w:rsid w:val="0074733B"/>
    <w:rsid w:val="007624C7"/>
    <w:rsid w:val="0078060F"/>
    <w:rsid w:val="0079240A"/>
    <w:rsid w:val="007A7AA3"/>
    <w:rsid w:val="007C4F6B"/>
    <w:rsid w:val="007C7DF9"/>
    <w:rsid w:val="007D1989"/>
    <w:rsid w:val="007E3389"/>
    <w:rsid w:val="0081600F"/>
    <w:rsid w:val="00826B73"/>
    <w:rsid w:val="00827F5B"/>
    <w:rsid w:val="00830C1B"/>
    <w:rsid w:val="00857D7D"/>
    <w:rsid w:val="008627C0"/>
    <w:rsid w:val="008657E5"/>
    <w:rsid w:val="00866069"/>
    <w:rsid w:val="00872812"/>
    <w:rsid w:val="00882E21"/>
    <w:rsid w:val="00891532"/>
    <w:rsid w:val="0089186F"/>
    <w:rsid w:val="008A3D52"/>
    <w:rsid w:val="008A6400"/>
    <w:rsid w:val="008B1EF1"/>
    <w:rsid w:val="008B4088"/>
    <w:rsid w:val="008B7FAC"/>
    <w:rsid w:val="008C299E"/>
    <w:rsid w:val="008D0F15"/>
    <w:rsid w:val="008D5FF3"/>
    <w:rsid w:val="00904494"/>
    <w:rsid w:val="00905C13"/>
    <w:rsid w:val="00912AB9"/>
    <w:rsid w:val="00915C77"/>
    <w:rsid w:val="00916803"/>
    <w:rsid w:val="00920B8A"/>
    <w:rsid w:val="0093579A"/>
    <w:rsid w:val="00942813"/>
    <w:rsid w:val="00942873"/>
    <w:rsid w:val="009469F9"/>
    <w:rsid w:val="00960485"/>
    <w:rsid w:val="00966AED"/>
    <w:rsid w:val="00970420"/>
    <w:rsid w:val="00983C8F"/>
    <w:rsid w:val="009843C1"/>
    <w:rsid w:val="00995291"/>
    <w:rsid w:val="009C6383"/>
    <w:rsid w:val="009D07CD"/>
    <w:rsid w:val="009D5BFF"/>
    <w:rsid w:val="009E0726"/>
    <w:rsid w:val="009E3387"/>
    <w:rsid w:val="009E366D"/>
    <w:rsid w:val="009E3DF3"/>
    <w:rsid w:val="009F2841"/>
    <w:rsid w:val="009F3E1F"/>
    <w:rsid w:val="00A02A8A"/>
    <w:rsid w:val="00A034F1"/>
    <w:rsid w:val="00A062DA"/>
    <w:rsid w:val="00A072BF"/>
    <w:rsid w:val="00A235E9"/>
    <w:rsid w:val="00A40F3C"/>
    <w:rsid w:val="00A418CA"/>
    <w:rsid w:val="00A426C6"/>
    <w:rsid w:val="00A461D1"/>
    <w:rsid w:val="00A4744E"/>
    <w:rsid w:val="00A4768A"/>
    <w:rsid w:val="00A548F0"/>
    <w:rsid w:val="00A6405D"/>
    <w:rsid w:val="00A65B93"/>
    <w:rsid w:val="00A72A25"/>
    <w:rsid w:val="00A73F3B"/>
    <w:rsid w:val="00A75DB8"/>
    <w:rsid w:val="00A77A69"/>
    <w:rsid w:val="00A9200C"/>
    <w:rsid w:val="00A955CF"/>
    <w:rsid w:val="00A95E16"/>
    <w:rsid w:val="00AB2CF5"/>
    <w:rsid w:val="00AC2ADE"/>
    <w:rsid w:val="00AD2FF2"/>
    <w:rsid w:val="00AD4612"/>
    <w:rsid w:val="00AD7BA8"/>
    <w:rsid w:val="00AE0EAB"/>
    <w:rsid w:val="00AF31A6"/>
    <w:rsid w:val="00AF72A2"/>
    <w:rsid w:val="00B0045B"/>
    <w:rsid w:val="00B06A47"/>
    <w:rsid w:val="00B0777C"/>
    <w:rsid w:val="00B131DB"/>
    <w:rsid w:val="00B22074"/>
    <w:rsid w:val="00B27235"/>
    <w:rsid w:val="00B30858"/>
    <w:rsid w:val="00B41E46"/>
    <w:rsid w:val="00B424EA"/>
    <w:rsid w:val="00B45FB5"/>
    <w:rsid w:val="00B4794C"/>
    <w:rsid w:val="00B607CC"/>
    <w:rsid w:val="00B62B27"/>
    <w:rsid w:val="00B65163"/>
    <w:rsid w:val="00B70B6B"/>
    <w:rsid w:val="00B762D9"/>
    <w:rsid w:val="00B81CC4"/>
    <w:rsid w:val="00B93324"/>
    <w:rsid w:val="00B94FAB"/>
    <w:rsid w:val="00B95A2A"/>
    <w:rsid w:val="00BB3834"/>
    <w:rsid w:val="00BB669A"/>
    <w:rsid w:val="00BC1111"/>
    <w:rsid w:val="00BC34D7"/>
    <w:rsid w:val="00BD100B"/>
    <w:rsid w:val="00BF4916"/>
    <w:rsid w:val="00BF6D89"/>
    <w:rsid w:val="00C009B1"/>
    <w:rsid w:val="00C15324"/>
    <w:rsid w:val="00C22413"/>
    <w:rsid w:val="00C22929"/>
    <w:rsid w:val="00C2474A"/>
    <w:rsid w:val="00C26D53"/>
    <w:rsid w:val="00C32310"/>
    <w:rsid w:val="00C41830"/>
    <w:rsid w:val="00C42E69"/>
    <w:rsid w:val="00C44304"/>
    <w:rsid w:val="00C524D4"/>
    <w:rsid w:val="00C549EE"/>
    <w:rsid w:val="00C610C1"/>
    <w:rsid w:val="00C73D5F"/>
    <w:rsid w:val="00C77C3E"/>
    <w:rsid w:val="00C82C4C"/>
    <w:rsid w:val="00CA1551"/>
    <w:rsid w:val="00CC0D02"/>
    <w:rsid w:val="00CC77B7"/>
    <w:rsid w:val="00CC7896"/>
    <w:rsid w:val="00CD213F"/>
    <w:rsid w:val="00CD4153"/>
    <w:rsid w:val="00CD611C"/>
    <w:rsid w:val="00CE05B5"/>
    <w:rsid w:val="00CE7A59"/>
    <w:rsid w:val="00D05F17"/>
    <w:rsid w:val="00D2420C"/>
    <w:rsid w:val="00D25E01"/>
    <w:rsid w:val="00D349DB"/>
    <w:rsid w:val="00D41F7C"/>
    <w:rsid w:val="00D425A8"/>
    <w:rsid w:val="00D44C82"/>
    <w:rsid w:val="00D53AA8"/>
    <w:rsid w:val="00D565BF"/>
    <w:rsid w:val="00D672AE"/>
    <w:rsid w:val="00D71F5F"/>
    <w:rsid w:val="00D74F43"/>
    <w:rsid w:val="00D86147"/>
    <w:rsid w:val="00D875F8"/>
    <w:rsid w:val="00D93A7F"/>
    <w:rsid w:val="00DA0BE4"/>
    <w:rsid w:val="00DA6287"/>
    <w:rsid w:val="00DC2DA6"/>
    <w:rsid w:val="00DC38C2"/>
    <w:rsid w:val="00DC38D6"/>
    <w:rsid w:val="00DC459D"/>
    <w:rsid w:val="00DE4D68"/>
    <w:rsid w:val="00DF0BF9"/>
    <w:rsid w:val="00E02F20"/>
    <w:rsid w:val="00E0596C"/>
    <w:rsid w:val="00E061E4"/>
    <w:rsid w:val="00E07A8F"/>
    <w:rsid w:val="00E134BF"/>
    <w:rsid w:val="00E16B6A"/>
    <w:rsid w:val="00E314E3"/>
    <w:rsid w:val="00E3733D"/>
    <w:rsid w:val="00E52249"/>
    <w:rsid w:val="00E6099C"/>
    <w:rsid w:val="00E64FD8"/>
    <w:rsid w:val="00E7088D"/>
    <w:rsid w:val="00E76A4C"/>
    <w:rsid w:val="00E7772D"/>
    <w:rsid w:val="00E87559"/>
    <w:rsid w:val="00E936EE"/>
    <w:rsid w:val="00EA0896"/>
    <w:rsid w:val="00EA3852"/>
    <w:rsid w:val="00EA61DA"/>
    <w:rsid w:val="00EB0A75"/>
    <w:rsid w:val="00EC4D5D"/>
    <w:rsid w:val="00ED17F6"/>
    <w:rsid w:val="00EE7006"/>
    <w:rsid w:val="00EF0DCF"/>
    <w:rsid w:val="00EF100F"/>
    <w:rsid w:val="00F17D0E"/>
    <w:rsid w:val="00F21B28"/>
    <w:rsid w:val="00F22D8F"/>
    <w:rsid w:val="00F322BC"/>
    <w:rsid w:val="00F371BE"/>
    <w:rsid w:val="00F445C5"/>
    <w:rsid w:val="00F450E2"/>
    <w:rsid w:val="00F463B7"/>
    <w:rsid w:val="00F52CDD"/>
    <w:rsid w:val="00F5705B"/>
    <w:rsid w:val="00F61D81"/>
    <w:rsid w:val="00F73460"/>
    <w:rsid w:val="00F80206"/>
    <w:rsid w:val="00F81FE9"/>
    <w:rsid w:val="00F96BF0"/>
    <w:rsid w:val="00FA2198"/>
    <w:rsid w:val="00FB414C"/>
    <w:rsid w:val="00FC603C"/>
    <w:rsid w:val="00FD21F8"/>
    <w:rsid w:val="00FD6E1A"/>
    <w:rsid w:val="00FE63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7DF86CE-966C-458B-BCBA-2A263B652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D21F8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Nadpis1">
    <w:name w:val="heading 1"/>
    <w:basedOn w:val="Odstavecseseznamem"/>
    <w:next w:val="Nadpis2"/>
    <w:link w:val="Nadpis1Char"/>
    <w:qFormat/>
    <w:rsid w:val="00200326"/>
    <w:pPr>
      <w:ind w:left="0"/>
      <w:contextualSpacing w:val="0"/>
      <w:outlineLvl w:val="0"/>
    </w:pPr>
    <w:rPr>
      <w:b/>
      <w:sz w:val="28"/>
    </w:rPr>
  </w:style>
  <w:style w:type="paragraph" w:styleId="Nadpis2">
    <w:name w:val="heading 2"/>
    <w:basedOn w:val="Odstavecseseznamem"/>
    <w:link w:val="Nadpis2Char"/>
    <w:uiPriority w:val="9"/>
    <w:qFormat/>
    <w:rsid w:val="00200326"/>
    <w:pPr>
      <w:numPr>
        <w:ilvl w:val="1"/>
        <w:numId w:val="1"/>
      </w:numPr>
      <w:ind w:left="2154" w:hanging="1474"/>
      <w:outlineLvl w:val="1"/>
    </w:pPr>
  </w:style>
  <w:style w:type="paragraph" w:styleId="Nadpis3">
    <w:name w:val="heading 3"/>
    <w:basedOn w:val="Odstavecseseznamem"/>
    <w:link w:val="Nadpis3Char"/>
    <w:uiPriority w:val="9"/>
    <w:qFormat/>
    <w:rsid w:val="00200326"/>
    <w:pPr>
      <w:numPr>
        <w:ilvl w:val="2"/>
        <w:numId w:val="1"/>
      </w:numPr>
      <w:ind w:left="2154" w:hanging="1474"/>
      <w:outlineLvl w:val="2"/>
    </w:pPr>
    <w:rPr>
      <w:i/>
    </w:rPr>
  </w:style>
  <w:style w:type="paragraph" w:styleId="Nadpis4">
    <w:name w:val="heading 4"/>
    <w:basedOn w:val="Odstavecseseznamem"/>
    <w:next w:val="Normln"/>
    <w:link w:val="Nadpis4Char"/>
    <w:uiPriority w:val="9"/>
    <w:qFormat/>
    <w:rsid w:val="00200326"/>
    <w:pPr>
      <w:numPr>
        <w:ilvl w:val="3"/>
        <w:numId w:val="1"/>
      </w:numPr>
      <w:ind w:left="2154" w:hanging="1474"/>
      <w:outlineLvl w:val="3"/>
    </w:pPr>
    <w:rPr>
      <w:i/>
    </w:rPr>
  </w:style>
  <w:style w:type="paragraph" w:styleId="Nadpis5">
    <w:name w:val="heading 5"/>
    <w:next w:val="Normln"/>
    <w:link w:val="Nadpis5Char"/>
    <w:uiPriority w:val="9"/>
    <w:qFormat/>
    <w:rsid w:val="009843C1"/>
    <w:pPr>
      <w:keepNext/>
      <w:keepLines/>
      <w:tabs>
        <w:tab w:val="left" w:pos="680"/>
        <w:tab w:val="left" w:pos="1474"/>
        <w:tab w:val="left" w:pos="2268"/>
      </w:tabs>
      <w:spacing w:after="240" w:line="240" w:lineRule="auto"/>
      <w:outlineLvl w:val="4"/>
    </w:pPr>
    <w:rPr>
      <w:rFonts w:eastAsiaTheme="majorEastAsia" w:cstheme="majorBidi"/>
      <w:spacing w:val="5"/>
      <w:sz w:val="30"/>
    </w:rPr>
  </w:style>
  <w:style w:type="paragraph" w:styleId="Nadpis6">
    <w:name w:val="heading 6"/>
    <w:next w:val="Normln"/>
    <w:link w:val="Nadpis6Char"/>
    <w:uiPriority w:val="9"/>
    <w:qFormat/>
    <w:rsid w:val="009843C1"/>
    <w:pPr>
      <w:tabs>
        <w:tab w:val="left" w:pos="680"/>
        <w:tab w:val="left" w:pos="1474"/>
        <w:tab w:val="left" w:pos="2268"/>
      </w:tabs>
      <w:spacing w:before="480" w:after="0" w:line="240" w:lineRule="auto"/>
      <w:outlineLvl w:val="5"/>
    </w:pPr>
    <w:rPr>
      <w:rFonts w:eastAsiaTheme="majorEastAsia" w:cstheme="majorBidi"/>
      <w:b/>
    </w:rPr>
  </w:style>
  <w:style w:type="paragraph" w:styleId="Nadpis7">
    <w:name w:val="heading 7"/>
    <w:basedOn w:val="Nadpis4"/>
    <w:next w:val="Normln"/>
    <w:link w:val="Nadpis7Char"/>
    <w:uiPriority w:val="9"/>
    <w:qFormat/>
    <w:rsid w:val="00200326"/>
    <w:pPr>
      <w:numPr>
        <w:ilvl w:val="0"/>
        <w:numId w:val="5"/>
      </w:numPr>
      <w:ind w:left="1814" w:hanging="340"/>
      <w:outlineLvl w:val="6"/>
    </w:pPr>
    <w:rPr>
      <w:i w:val="0"/>
    </w:rPr>
  </w:style>
  <w:style w:type="paragraph" w:styleId="Nadpis8">
    <w:name w:val="heading 8"/>
    <w:basedOn w:val="Nadpis7"/>
    <w:next w:val="Normln"/>
    <w:link w:val="Nadpis8Char"/>
    <w:uiPriority w:val="9"/>
    <w:qFormat/>
    <w:rsid w:val="00200326"/>
    <w:pPr>
      <w:outlineLvl w:val="7"/>
    </w:p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B607CC"/>
    <w:pPr>
      <w:outlineLvl w:val="8"/>
    </w:pPr>
    <w:rPr>
      <w:b/>
      <w:sz w:val="48"/>
      <w:szCs w:val="4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200326"/>
    <w:rPr>
      <w:b/>
      <w:sz w:val="28"/>
    </w:rPr>
  </w:style>
  <w:style w:type="character" w:customStyle="1" w:styleId="Nadpis2Char">
    <w:name w:val="Nadpis 2 Char"/>
    <w:basedOn w:val="Standardnpsmoodstavce"/>
    <w:link w:val="Nadpis2"/>
    <w:uiPriority w:val="9"/>
    <w:rsid w:val="00200326"/>
  </w:style>
  <w:style w:type="paragraph" w:styleId="Bezmezer">
    <w:name w:val="No Spacing"/>
    <w:uiPriority w:val="1"/>
    <w:qFormat/>
    <w:rsid w:val="00682B8A"/>
    <w:pPr>
      <w:tabs>
        <w:tab w:val="left" w:pos="680"/>
        <w:tab w:val="left" w:pos="1474"/>
        <w:tab w:val="left" w:pos="2268"/>
      </w:tabs>
      <w:spacing w:after="0" w:line="360" w:lineRule="exact"/>
      <w:jc w:val="both"/>
    </w:pPr>
  </w:style>
  <w:style w:type="paragraph" w:styleId="Odstavecseseznamem">
    <w:name w:val="List Paragraph"/>
    <w:basedOn w:val="Normln"/>
    <w:uiPriority w:val="34"/>
    <w:rsid w:val="007D1989"/>
    <w:pPr>
      <w:ind w:left="720"/>
      <w:contextualSpacing/>
    </w:pPr>
  </w:style>
  <w:style w:type="paragraph" w:styleId="Zhlav">
    <w:name w:val="header"/>
    <w:basedOn w:val="Normln"/>
    <w:link w:val="ZhlavChar"/>
    <w:unhideWhenUsed/>
    <w:rsid w:val="005827B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5827BD"/>
    <w:rPr>
      <w:rFonts w:ascii="Myriad Pro" w:hAnsi="Myriad Pro"/>
      <w:color w:val="595959" w:themeColor="text1" w:themeTint="A6"/>
      <w:sz w:val="20"/>
    </w:rPr>
  </w:style>
  <w:style w:type="paragraph" w:styleId="Zpat">
    <w:name w:val="footer"/>
    <w:basedOn w:val="Normln"/>
    <w:link w:val="ZpatChar"/>
    <w:uiPriority w:val="99"/>
    <w:unhideWhenUsed/>
    <w:rsid w:val="005827B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827BD"/>
    <w:rPr>
      <w:rFonts w:ascii="Myriad Pro" w:hAnsi="Myriad Pro"/>
      <w:color w:val="595959" w:themeColor="text1" w:themeTint="A6"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827B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827BD"/>
    <w:rPr>
      <w:rFonts w:ascii="Tahoma" w:hAnsi="Tahoma" w:cs="Tahoma"/>
      <w:color w:val="595959" w:themeColor="text1" w:themeTint="A6"/>
      <w:sz w:val="16"/>
      <w:szCs w:val="16"/>
    </w:rPr>
  </w:style>
  <w:style w:type="paragraph" w:styleId="Nzev">
    <w:name w:val="Title"/>
    <w:next w:val="Normln"/>
    <w:link w:val="NzevChar"/>
    <w:uiPriority w:val="10"/>
    <w:rsid w:val="006D64C3"/>
    <w:pPr>
      <w:spacing w:after="240" w:line="240" w:lineRule="auto"/>
      <w:contextualSpacing/>
    </w:pPr>
    <w:rPr>
      <w:rFonts w:eastAsiaTheme="majorEastAsia" w:cstheme="majorBidi"/>
      <w:i/>
      <w:spacing w:val="5"/>
      <w:kern w:val="28"/>
      <w:sz w:val="28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6D64C3"/>
    <w:rPr>
      <w:rFonts w:eastAsiaTheme="majorEastAsia" w:cstheme="majorBidi"/>
      <w:i/>
      <w:spacing w:val="5"/>
      <w:kern w:val="28"/>
      <w:sz w:val="28"/>
      <w:szCs w:val="52"/>
    </w:rPr>
  </w:style>
  <w:style w:type="character" w:customStyle="1" w:styleId="Nadpis3Char">
    <w:name w:val="Nadpis 3 Char"/>
    <w:basedOn w:val="Standardnpsmoodstavce"/>
    <w:link w:val="Nadpis3"/>
    <w:uiPriority w:val="9"/>
    <w:rsid w:val="00200326"/>
    <w:rPr>
      <w:i/>
    </w:rPr>
  </w:style>
  <w:style w:type="paragraph" w:styleId="Podtitul">
    <w:name w:val="Subtitle"/>
    <w:basedOn w:val="Normln"/>
    <w:next w:val="Normln"/>
    <w:link w:val="PodtitulChar"/>
    <w:uiPriority w:val="11"/>
    <w:qFormat/>
    <w:rsid w:val="00AD7BA8"/>
    <w:pPr>
      <w:spacing w:line="240" w:lineRule="exact"/>
    </w:pPr>
    <w:rPr>
      <w:sz w:val="15"/>
      <w:szCs w:val="15"/>
    </w:rPr>
  </w:style>
  <w:style w:type="character" w:customStyle="1" w:styleId="PodtitulChar">
    <w:name w:val="Podtitul Char"/>
    <w:basedOn w:val="Standardnpsmoodstavce"/>
    <w:link w:val="Podtitul"/>
    <w:uiPriority w:val="11"/>
    <w:rsid w:val="00AD7BA8"/>
    <w:rPr>
      <w:sz w:val="15"/>
      <w:szCs w:val="15"/>
    </w:rPr>
  </w:style>
  <w:style w:type="character" w:styleId="Hypertextovodkaz">
    <w:name w:val="Hyperlink"/>
    <w:basedOn w:val="Standardnpsmoodstavce"/>
    <w:uiPriority w:val="99"/>
    <w:unhideWhenUsed/>
    <w:rsid w:val="00995291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5C53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4Char">
    <w:name w:val="Nadpis 4 Char"/>
    <w:basedOn w:val="Standardnpsmoodstavce"/>
    <w:link w:val="Nadpis4"/>
    <w:uiPriority w:val="9"/>
    <w:rsid w:val="00200326"/>
    <w:rPr>
      <w:i/>
    </w:rPr>
  </w:style>
  <w:style w:type="character" w:customStyle="1" w:styleId="Nadpis5Char">
    <w:name w:val="Nadpis 5 Char"/>
    <w:basedOn w:val="Standardnpsmoodstavce"/>
    <w:link w:val="Nadpis5"/>
    <w:uiPriority w:val="9"/>
    <w:rsid w:val="009843C1"/>
    <w:rPr>
      <w:rFonts w:eastAsiaTheme="majorEastAsia" w:cstheme="majorBidi"/>
      <w:spacing w:val="5"/>
      <w:sz w:val="30"/>
    </w:rPr>
  </w:style>
  <w:style w:type="character" w:customStyle="1" w:styleId="Nadpis6Char">
    <w:name w:val="Nadpis 6 Char"/>
    <w:basedOn w:val="Standardnpsmoodstavce"/>
    <w:link w:val="Nadpis6"/>
    <w:uiPriority w:val="9"/>
    <w:rsid w:val="009843C1"/>
    <w:rPr>
      <w:rFonts w:eastAsiaTheme="majorEastAsia" w:cstheme="majorBidi"/>
      <w:b/>
    </w:rPr>
  </w:style>
  <w:style w:type="character" w:customStyle="1" w:styleId="Nadpis7Char">
    <w:name w:val="Nadpis 7 Char"/>
    <w:basedOn w:val="Standardnpsmoodstavce"/>
    <w:link w:val="Nadpis7"/>
    <w:uiPriority w:val="9"/>
    <w:rsid w:val="00200326"/>
    <w:rPr>
      <w:sz w:val="20"/>
    </w:rPr>
  </w:style>
  <w:style w:type="character" w:customStyle="1" w:styleId="Nadpis8Char">
    <w:name w:val="Nadpis 8 Char"/>
    <w:basedOn w:val="Standardnpsmoodstavce"/>
    <w:link w:val="Nadpis8"/>
    <w:uiPriority w:val="9"/>
    <w:rsid w:val="00200326"/>
    <w:rPr>
      <w:sz w:val="20"/>
    </w:rPr>
  </w:style>
  <w:style w:type="character" w:customStyle="1" w:styleId="Nadpis9Char">
    <w:name w:val="Nadpis 9 Char"/>
    <w:basedOn w:val="Standardnpsmoodstavce"/>
    <w:link w:val="Nadpis9"/>
    <w:uiPriority w:val="9"/>
    <w:rsid w:val="00B607CC"/>
    <w:rPr>
      <w:b/>
      <w:sz w:val="48"/>
      <w:szCs w:val="48"/>
    </w:rPr>
  </w:style>
  <w:style w:type="paragraph" w:styleId="Prosttext">
    <w:name w:val="Plain Text"/>
    <w:basedOn w:val="Normln"/>
    <w:link w:val="ProsttextChar"/>
    <w:rsid w:val="00190900"/>
    <w:rPr>
      <w:rFonts w:ascii="Courier New" w:hAnsi="Courier New" w:cs="Courier New"/>
    </w:rPr>
  </w:style>
  <w:style w:type="character" w:customStyle="1" w:styleId="ProsttextChar">
    <w:name w:val="Prostý text Char"/>
    <w:basedOn w:val="Standardnpsmoodstavce"/>
    <w:link w:val="Prosttext"/>
    <w:rsid w:val="00190900"/>
    <w:rPr>
      <w:rFonts w:ascii="Courier New" w:eastAsia="Times New Roman" w:hAnsi="Courier New" w:cs="Courier New"/>
      <w:sz w:val="20"/>
      <w:szCs w:val="20"/>
      <w:lang w:eastAsia="cs-CZ"/>
    </w:rPr>
  </w:style>
  <w:style w:type="character" w:customStyle="1" w:styleId="FormtovanvHTMLChar">
    <w:name w:val="Formátovaný v HTML Char"/>
    <w:link w:val="FormtovanvHTML"/>
    <w:rsid w:val="00FD21F8"/>
    <w:rPr>
      <w:rFonts w:ascii="Courier New" w:hAnsi="Courier New" w:cs="Courier New"/>
      <w:color w:val="000000"/>
    </w:rPr>
  </w:style>
  <w:style w:type="paragraph" w:styleId="FormtovanvHTML">
    <w:name w:val="HTML Preformatted"/>
    <w:basedOn w:val="Normln"/>
    <w:link w:val="FormtovanvHTMLChar"/>
    <w:rsid w:val="00FD21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color w:val="000000"/>
      <w:sz w:val="22"/>
      <w:szCs w:val="22"/>
      <w:lang w:eastAsia="en-US"/>
    </w:rPr>
  </w:style>
  <w:style w:type="character" w:customStyle="1" w:styleId="FormtovanvHTMLChar1">
    <w:name w:val="Formátovaný v HTML Char1"/>
    <w:basedOn w:val="Standardnpsmoodstavce"/>
    <w:uiPriority w:val="99"/>
    <w:semiHidden/>
    <w:rsid w:val="00FD21F8"/>
    <w:rPr>
      <w:rFonts w:ascii="Consolas" w:eastAsia="Times New Roman" w:hAnsi="Consolas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337AD-4AAA-4513-AB97-D8709BD7D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1062</TotalTime>
  <Pages>2</Pages>
  <Words>444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Vago Petr</dc:creator>
  <cp:keywords/>
  <dc:description/>
  <cp:lastModifiedBy>Vago Petr</cp:lastModifiedBy>
  <cp:revision>122</cp:revision>
  <cp:lastPrinted>2017-01-04T14:19:00Z</cp:lastPrinted>
  <dcterms:created xsi:type="dcterms:W3CDTF">2015-08-17T06:04:00Z</dcterms:created>
  <dcterms:modified xsi:type="dcterms:W3CDTF">2017-10-24T06:19:00Z</dcterms:modified>
</cp:coreProperties>
</file>